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浙江德沃轴承有限公司</w:t>
      </w:r>
    </w:p>
    <w:p>
      <w:pPr>
        <w:jc w:val="cente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新建年产P1级、直径60毫米以上滚动轴承500万套/件</w:t>
      </w:r>
    </w:p>
    <w:p>
      <w:pPr>
        <w:jc w:val="center"/>
        <w:rPr>
          <w:rFonts w:hint="default" w:ascii="Times New Roman" w:hAnsi="Times New Roman" w:cs="Times New Roman"/>
          <w:b/>
          <w:bCs/>
          <w:sz w:val="32"/>
          <w:szCs w:val="32"/>
        </w:rPr>
      </w:pPr>
      <w:r>
        <w:rPr>
          <w:rFonts w:hint="eastAsia" w:ascii="Times New Roman" w:hAnsi="Times New Roman" w:cs="Times New Roman"/>
          <w:b/>
          <w:bCs/>
          <w:sz w:val="32"/>
          <w:szCs w:val="32"/>
          <w:lang w:val="en-US" w:eastAsia="zh-CN"/>
        </w:rPr>
        <w:t>生产项目</w:t>
      </w:r>
      <w:r>
        <w:rPr>
          <w:rFonts w:hint="default" w:ascii="Times New Roman" w:hAnsi="Times New Roman" w:cs="Times New Roman"/>
          <w:b/>
          <w:bCs/>
          <w:sz w:val="32"/>
          <w:szCs w:val="32"/>
        </w:rPr>
        <w:t>竣工环境保护验收监测报告</w:t>
      </w: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both"/>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rPr>
        <w:t>建设单位：</w:t>
      </w:r>
      <w:r>
        <w:rPr>
          <w:rFonts w:hint="eastAsia" w:ascii="Times New Roman" w:hAnsi="Times New Roman" w:cs="Times New Roman"/>
          <w:b/>
          <w:bCs/>
          <w:sz w:val="28"/>
          <w:szCs w:val="28"/>
          <w:lang w:val="en-US" w:eastAsia="zh-CN"/>
        </w:rPr>
        <w:t>浙江德沃轴承有限公司</w:t>
      </w:r>
    </w:p>
    <w:p>
      <w:pPr>
        <w:jc w:val="cente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编制</w:t>
      </w:r>
      <w:r>
        <w:rPr>
          <w:rFonts w:hint="default" w:ascii="Times New Roman" w:hAnsi="Times New Roman" w:cs="Times New Roman"/>
          <w:b/>
          <w:bCs/>
          <w:sz w:val="28"/>
          <w:szCs w:val="28"/>
        </w:rPr>
        <w:t>单位：</w:t>
      </w:r>
      <w:r>
        <w:rPr>
          <w:rFonts w:hint="eastAsia" w:ascii="Times New Roman" w:hAnsi="Times New Roman" w:cs="Times New Roman"/>
          <w:b/>
          <w:bCs/>
          <w:sz w:val="28"/>
          <w:szCs w:val="28"/>
          <w:lang w:val="en-US" w:eastAsia="zh-CN"/>
        </w:rPr>
        <w:t>浙江德沃轴承有限公司</w:t>
      </w:r>
    </w:p>
    <w:p>
      <w:pPr>
        <w:jc w:val="center"/>
        <w:rPr>
          <w:rFonts w:hint="default" w:ascii="Times New Roman" w:hAnsi="Times New Roman" w:cs="Times New Roman"/>
          <w:b/>
          <w:bCs/>
          <w:sz w:val="28"/>
          <w:szCs w:val="28"/>
          <w:lang w:val="en-US" w:eastAsia="zh-CN"/>
        </w:rPr>
      </w:pPr>
    </w:p>
    <w:p>
      <w:pP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201</w:t>
      </w:r>
      <w:r>
        <w:rPr>
          <w:rFonts w:hint="default" w:ascii="Times New Roman" w:hAnsi="Times New Roman" w:cs="Times New Roman"/>
          <w:b/>
          <w:bCs/>
          <w:sz w:val="32"/>
          <w:szCs w:val="32"/>
          <w:lang w:val="en-US" w:eastAsia="zh-CN"/>
        </w:rPr>
        <w:t>9</w:t>
      </w:r>
      <w:r>
        <w:rPr>
          <w:rFonts w:hint="default" w:ascii="Times New Roman" w:hAnsi="Times New Roman" w:cs="Times New Roman"/>
          <w:b/>
          <w:bCs/>
          <w:sz w:val="32"/>
          <w:szCs w:val="32"/>
        </w:rPr>
        <w:t>年</w:t>
      </w:r>
      <w:r>
        <w:rPr>
          <w:rFonts w:hint="eastAsia" w:ascii="Times New Roman" w:hAnsi="Times New Roman" w:cs="Times New Roman"/>
          <w:b/>
          <w:bCs/>
          <w:sz w:val="32"/>
          <w:szCs w:val="32"/>
          <w:lang w:val="en-US" w:eastAsia="zh-CN"/>
        </w:rPr>
        <w:t>7</w:t>
      </w:r>
      <w:r>
        <w:rPr>
          <w:rFonts w:hint="default" w:ascii="Times New Roman" w:hAnsi="Times New Roman" w:cs="Times New Roman"/>
          <w:b/>
          <w:bCs/>
          <w:sz w:val="32"/>
          <w:szCs w:val="32"/>
        </w:rPr>
        <w:t>月</w:t>
      </w:r>
    </w:p>
    <w:p>
      <w:pPr>
        <w:jc w:val="center"/>
        <w:rPr>
          <w:rFonts w:hint="default" w:ascii="Times New Roman" w:hAnsi="Times New Roman" w:cs="Times New Roman"/>
          <w:b/>
          <w:bCs/>
          <w:sz w:val="32"/>
          <w:szCs w:val="32"/>
          <w:lang w:val="en-US" w:eastAsia="zh-CN"/>
        </w:rPr>
      </w:pPr>
    </w:p>
    <w:p>
      <w:pPr>
        <w:spacing w:line="480" w:lineRule="auto"/>
        <w:rPr>
          <w:rFonts w:hint="default" w:ascii="Times New Roman" w:hAnsi="Times New Roman" w:cs="Times New Roman"/>
          <w:b w:val="0"/>
          <w:bCs w:val="0"/>
          <w:sz w:val="28"/>
          <w:szCs w:val="28"/>
        </w:rPr>
      </w:pPr>
    </w:p>
    <w:p>
      <w:pPr>
        <w:spacing w:line="480" w:lineRule="auto"/>
        <w:rPr>
          <w:rFonts w:hint="default" w:ascii="Times New Roman" w:hAnsi="Times New Roman" w:cs="Times New Roman"/>
          <w:b/>
          <w:bCs/>
          <w:sz w:val="28"/>
          <w:szCs w:val="28"/>
        </w:rPr>
      </w:pPr>
    </w:p>
    <w:p>
      <w:pPr>
        <w:jc w:val="both"/>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rPr>
        <w:t>建设单位</w:t>
      </w:r>
      <w:r>
        <w:rPr>
          <w:rFonts w:hint="default"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浙江德沃轴承有限公司</w:t>
      </w:r>
    </w:p>
    <w:p>
      <w:pPr>
        <w:jc w:val="both"/>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编制单位：浙江德沃轴承有限公司</w:t>
      </w:r>
    </w:p>
    <w:p>
      <w:pPr>
        <w:spacing w:line="480" w:lineRule="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lang w:val="en-US" w:eastAsia="zh-CN"/>
        </w:rPr>
        <w:t>法人代表</w:t>
      </w:r>
      <w:r>
        <w:rPr>
          <w:rFonts w:hint="default" w:ascii="Times New Roman" w:hAnsi="Times New Roman" w:cs="Times New Roman"/>
          <w:b/>
          <w:bCs/>
          <w:sz w:val="28"/>
          <w:szCs w:val="28"/>
        </w:rPr>
        <w:t>：</w:t>
      </w:r>
      <w:r>
        <w:rPr>
          <w:rFonts w:hint="default" w:ascii="Times New Roman" w:hAnsi="Times New Roman" w:cs="Times New Roman"/>
          <w:b/>
          <w:bCs/>
          <w:sz w:val="28"/>
          <w:szCs w:val="28"/>
          <w:lang w:val="en-US" w:eastAsia="zh-CN"/>
        </w:rPr>
        <w:t>蒋祯</w:t>
      </w:r>
      <w:r>
        <w:rPr>
          <w:rFonts w:hint="eastAsia" w:ascii="Times New Roman" w:hAnsi="Times New Roman" w:cs="Times New Roman"/>
          <w:b/>
          <w:bCs/>
          <w:sz w:val="28"/>
          <w:szCs w:val="28"/>
          <w:lang w:val="en-US" w:eastAsia="zh-CN"/>
        </w:rPr>
        <w:t>天宇</w:t>
      </w:r>
    </w:p>
    <w:p>
      <w:pPr>
        <w:spacing w:line="360" w:lineRule="auto"/>
        <w:rPr>
          <w:rFonts w:hint="default" w:ascii="Times New Roman" w:hAnsi="Times New Roman" w:cs="Times New Roman"/>
          <w:b/>
          <w:bCs/>
          <w:sz w:val="28"/>
          <w:szCs w:val="28"/>
          <w:lang w:val="en-US" w:eastAsia="zh-CN"/>
        </w:rPr>
      </w:pPr>
    </w:p>
    <w:p>
      <w:pPr>
        <w:spacing w:line="48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360" w:lineRule="auto"/>
        <w:rPr>
          <w:rFonts w:hint="default" w:ascii="Times New Roman" w:hAnsi="Times New Roman" w:cs="Times New Roman"/>
          <w:b/>
          <w:bCs/>
          <w:sz w:val="28"/>
          <w:szCs w:val="28"/>
          <w:lang w:val="en-US" w:eastAsia="zh-CN"/>
        </w:rPr>
      </w:pP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建设</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编制</w:t>
      </w:r>
      <w:r>
        <w:rPr>
          <w:rFonts w:hint="default" w:ascii="Times New Roman" w:hAnsi="Times New Roman" w:cs="Times New Roman"/>
          <w:sz w:val="21"/>
          <w:szCs w:val="21"/>
          <w:lang w:eastAsia="zh-CN"/>
        </w:rPr>
        <w:t>）</w:t>
      </w:r>
      <w:r>
        <w:rPr>
          <w:rFonts w:hint="default" w:ascii="Times New Roman" w:hAnsi="Times New Roman" w:cs="Times New Roman"/>
          <w:sz w:val="21"/>
          <w:szCs w:val="21"/>
        </w:rPr>
        <w:t>单位：</w:t>
      </w:r>
      <w:r>
        <w:rPr>
          <w:rFonts w:hint="eastAsia" w:ascii="Times New Roman" w:hAnsi="Times New Roman" w:cs="Times New Roman"/>
          <w:sz w:val="21"/>
          <w:szCs w:val="21"/>
          <w:lang w:val="en-US" w:eastAsia="zh-CN"/>
        </w:rPr>
        <w:t xml:space="preserve">浙江德沃轴承有限公司     </w:t>
      </w:r>
      <w:r>
        <w:rPr>
          <w:rFonts w:hint="default" w:ascii="Times New Roman" w:hAnsi="Times New Roman" w:eastAsia="宋体" w:cs="Times New Roman"/>
          <w:sz w:val="21"/>
          <w:szCs w:val="21"/>
          <w:lang w:val="en-US" w:eastAsia="zh-CN"/>
        </w:rPr>
        <w:t xml:space="preserve">      </w:t>
      </w:r>
    </w:p>
    <w:p>
      <w:pPr>
        <w:spacing w:line="480" w:lineRule="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电话：</w:t>
      </w:r>
      <w:r>
        <w:rPr>
          <w:rFonts w:hint="default" w:ascii="Times New Roman" w:hAnsi="Times New Roman" w:cs="Times New Roman"/>
          <w:sz w:val="21"/>
          <w:szCs w:val="21"/>
          <w:lang w:val="en-US" w:eastAsia="zh-CN"/>
        </w:rPr>
        <w:t>13905830888</w:t>
      </w:r>
      <w:r>
        <w:rPr>
          <w:rFonts w:hint="eastAsia" w:ascii="Times New Roman" w:hAnsi="Times New Roman" w:cs="Times New Roman"/>
          <w:sz w:val="21"/>
          <w:szCs w:val="21"/>
          <w:lang w:val="en-US" w:eastAsia="zh-CN"/>
        </w:rPr>
        <w:t xml:space="preserve">                           </w:t>
      </w:r>
    </w:p>
    <w:p>
      <w:pPr>
        <w:tabs>
          <w:tab w:val="left" w:pos="4830"/>
        </w:tabs>
        <w:spacing w:line="480" w:lineRule="auto"/>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传真</w:t>
      </w:r>
      <w:r>
        <w:rPr>
          <w:rFonts w:hint="default" w:ascii="Times New Roman" w:hAnsi="Times New Roman" w:cs="Times New Roman"/>
          <w:sz w:val="21"/>
          <w:szCs w:val="21"/>
          <w:lang w:eastAsia="zh-CN"/>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 xml:space="preserve">                      </w:t>
      </w:r>
    </w:p>
    <w:p>
      <w:pPr>
        <w:spacing w:line="480" w:lineRule="auto"/>
        <w:rPr>
          <w:rFonts w:hint="default" w:ascii="Times New Roman" w:hAnsi="Times New Roman" w:eastAsia="微软雅黑" w:cs="Times New Roman"/>
          <w:sz w:val="21"/>
          <w:szCs w:val="21"/>
          <w:shd w:val="clear" w:color="auto" w:fill="FFFFFF"/>
          <w:lang w:val="en-US" w:eastAsia="zh-CN"/>
        </w:rPr>
      </w:pPr>
      <w:r>
        <w:rPr>
          <w:rFonts w:hint="default" w:ascii="Times New Roman" w:hAnsi="Times New Roman" w:cs="Times New Roman"/>
          <w:sz w:val="21"/>
          <w:szCs w:val="21"/>
        </w:rPr>
        <w:t>邮编：</w:t>
      </w:r>
      <w:r>
        <w:rPr>
          <w:rFonts w:hint="eastAsia" w:ascii="Times New Roman" w:hAnsi="Times New Roman" w:cs="Times New Roman"/>
          <w:sz w:val="21"/>
          <w:szCs w:val="21"/>
          <w:lang w:val="en-US" w:eastAsia="zh-CN"/>
        </w:rPr>
        <w:t xml:space="preserve">314100                               </w:t>
      </w:r>
      <w:r>
        <w:rPr>
          <w:rFonts w:hint="default" w:ascii="Times New Roman" w:hAnsi="Times New Roman" w:eastAsia="微软雅黑" w:cs="Times New Roman"/>
          <w:sz w:val="21"/>
          <w:szCs w:val="21"/>
          <w:shd w:val="clear" w:color="auto" w:fill="FFFFFF"/>
        </w:rPr>
        <w:t xml:space="preserve">                  </w:t>
      </w:r>
      <w:r>
        <w:rPr>
          <w:rFonts w:hint="default" w:ascii="Times New Roman" w:hAnsi="Times New Roman" w:eastAsia="微软雅黑" w:cs="Times New Roman"/>
          <w:sz w:val="21"/>
          <w:szCs w:val="21"/>
          <w:shd w:val="clear" w:color="auto" w:fill="FFFFFF"/>
          <w:lang w:val="en-US" w:eastAsia="zh-CN"/>
        </w:rPr>
        <w:t xml:space="preserve"> </w:t>
      </w:r>
      <w:r>
        <w:rPr>
          <w:rFonts w:hint="default" w:ascii="Times New Roman" w:hAnsi="Times New Roman" w:eastAsia="微软雅黑" w:cs="Times New Roman"/>
          <w:sz w:val="21"/>
          <w:szCs w:val="21"/>
          <w:shd w:val="clear" w:color="auto" w:fill="FFFFFF"/>
        </w:rPr>
        <w:t xml:space="preserve">        </w:t>
      </w:r>
      <w:r>
        <w:rPr>
          <w:rFonts w:hint="default" w:ascii="Times New Roman" w:hAnsi="Times New Roman" w:eastAsia="微软雅黑" w:cs="Times New Roman"/>
          <w:sz w:val="21"/>
          <w:szCs w:val="21"/>
          <w:shd w:val="clear" w:color="auto" w:fill="FFFFFF"/>
          <w:lang w:val="en-US" w:eastAsia="zh-CN"/>
        </w:rPr>
        <w:t xml:space="preserve">   </w:t>
      </w:r>
    </w:p>
    <w:p>
      <w:pPr>
        <w:spacing w:line="360" w:lineRule="auto"/>
        <w:rPr>
          <w:rFonts w:hint="default" w:ascii="Times New Roman" w:hAnsi="Times New Roman" w:cs="Times New Roman"/>
          <w:b/>
          <w:bCs/>
          <w:sz w:val="28"/>
          <w:szCs w:val="28"/>
          <w:lang w:val="en-US" w:eastAsia="zh-CN"/>
        </w:rPr>
      </w:pPr>
      <w:r>
        <w:rPr>
          <w:rFonts w:hint="default" w:ascii="Times New Roman" w:hAnsi="Times New Roman" w:cs="Times New Roman"/>
          <w:sz w:val="21"/>
          <w:szCs w:val="21"/>
        </w:rPr>
        <w:t>地址</w:t>
      </w:r>
      <w:r>
        <w:rPr>
          <w:rFonts w:hint="default" w:ascii="Times New Roman" w:hAnsi="Times New Roman" w:cs="Times New Roman"/>
          <w:sz w:val="21"/>
          <w:szCs w:val="21"/>
          <w:lang w:eastAsia="zh-CN"/>
        </w:rPr>
        <w:t>：</w:t>
      </w:r>
      <w:r>
        <w:rPr>
          <w:rFonts w:hint="eastAsia" w:ascii="Times New Roman" w:hAnsi="Times New Roman" w:cs="Times New Roman"/>
          <w:sz w:val="21"/>
          <w:szCs w:val="21"/>
          <w:lang w:val="en-US" w:eastAsia="zh-CN"/>
        </w:rPr>
        <w:t xml:space="preserve">嘉善县魏塘街道振中路88号              </w:t>
      </w:r>
    </w:p>
    <w:p>
      <w:pPr>
        <w:spacing w:line="480" w:lineRule="auto"/>
        <w:jc w:val="both"/>
        <w:rPr>
          <w:rFonts w:hint="default" w:ascii="Times New Roman" w:hAnsi="Times New Roman" w:cs="Times New Roman"/>
          <w:sz w:val="24"/>
          <w:szCs w:val="24"/>
          <w:lang w:val="en-US" w:eastAsia="zh-CN"/>
        </w:rPr>
      </w:pPr>
    </w:p>
    <w:p>
      <w:pPr>
        <w:spacing w:line="480" w:lineRule="auto"/>
        <w:jc w:val="center"/>
        <w:rPr>
          <w:rFonts w:hint="default" w:ascii="Times New Roman" w:hAnsi="Times New Roman" w:cs="Times New Roman"/>
          <w:b/>
          <w:bCs/>
          <w:sz w:val="36"/>
          <w:szCs w:val="36"/>
          <w:lang w:val="en-US" w:eastAsia="zh-CN"/>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b/>
          <w:bCs/>
          <w:sz w:val="36"/>
          <w:szCs w:val="36"/>
          <w:lang w:val="en-US" w:eastAsia="zh-CN"/>
        </w:rPr>
        <w:t>目  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
          <w:bCs/>
          <w:sz w:val="36"/>
          <w:szCs w:val="36"/>
          <w:lang w:val="en-US" w:eastAsia="zh-CN"/>
        </w:rPr>
        <w:fldChar w:fldCharType="begin"/>
      </w:r>
      <w:r>
        <w:rPr>
          <w:rFonts w:hint="default" w:ascii="Times New Roman" w:hAnsi="Times New Roman" w:cs="Times New Roman"/>
          <w:b/>
          <w:bCs/>
          <w:sz w:val="36"/>
          <w:szCs w:val="36"/>
          <w:lang w:val="en-US" w:eastAsia="zh-CN"/>
        </w:rPr>
        <w:instrText xml:space="preserve">TOC \o "1-3" \h \u </w:instrText>
      </w:r>
      <w:r>
        <w:rPr>
          <w:rFonts w:hint="default" w:ascii="Times New Roman" w:hAnsi="Times New Roman" w:cs="Times New Roman"/>
          <w:b/>
          <w:bCs/>
          <w:sz w:val="36"/>
          <w:szCs w:val="36"/>
          <w:lang w:val="en-US" w:eastAsia="zh-CN"/>
        </w:rPr>
        <w:fldChar w:fldCharType="separate"/>
      </w: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_Toc14739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1. 验收项目概况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_Toc14739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_Toc11029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2. 验收</w:t>
      </w:r>
      <w:r>
        <w:rPr>
          <w:rFonts w:hint="default" w:ascii="Times New Roman" w:hAnsi="Times New Roman" w:cs="Times New Roman"/>
          <w:szCs w:val="24"/>
          <w:lang w:val="en-US" w:eastAsia="zh-CN"/>
        </w:rPr>
        <w:t>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_Toc11029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_Toc5904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3. 工程建设情况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_Toc5904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_Toc14598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3.1地理位置及平面布置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_Toc14598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_Toc27425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3.2建设内容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_Toc27425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_Toc28619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3.3主要原辅材料及燃料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_Toc28619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_Toc10251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3.4水源及水平衡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_Toc10251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_Toc9991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3.5生产工艺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_Toc9991 </w:instrText>
      </w:r>
      <w:r>
        <w:rPr>
          <w:rFonts w:hint="default" w:ascii="Times New Roman" w:hAnsi="Times New Roman" w:cs="Times New Roman"/>
        </w:rPr>
        <w:fldChar w:fldCharType="separate"/>
      </w:r>
      <w:r>
        <w:rPr>
          <w:rFonts w:hint="default" w:ascii="Times New Roman" w:hAnsi="Times New Roman" w:cs="Times New Roman"/>
        </w:rPr>
        <w:t>- 5 -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_Toc909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3.6项目变动情况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_Toc909 </w:instrText>
      </w:r>
      <w:r>
        <w:rPr>
          <w:rFonts w:hint="default" w:ascii="Times New Roman" w:hAnsi="Times New Roman" w:cs="Times New Roman"/>
        </w:rPr>
        <w:fldChar w:fldCharType="separate"/>
      </w:r>
      <w:r>
        <w:rPr>
          <w:rFonts w:hint="default" w:ascii="Times New Roman" w:hAnsi="Times New Roman" w:cs="Times New Roman"/>
        </w:rPr>
        <w:t>- 6 -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_Toc12155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4. 环境保护设施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_Toc12155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_Toc15713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4.1污染物治理设施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_Toc15713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_Toc7181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4.2其他环境保护设施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_Toc7181 </w:instrText>
      </w:r>
      <w:r>
        <w:rPr>
          <w:rFonts w:hint="default" w:ascii="Times New Roman" w:hAnsi="Times New Roman" w:cs="Times New Roman"/>
        </w:rPr>
        <w:fldChar w:fldCharType="separate"/>
      </w:r>
      <w:r>
        <w:rPr>
          <w:rFonts w:hint="default" w:ascii="Times New Roman" w:hAnsi="Times New Roman" w:cs="Times New Roman"/>
        </w:rPr>
        <w:t>- 9 -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_Toc28320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4.3环保设施投资及“三同时”落实情况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_Toc28320 </w:instrText>
      </w:r>
      <w:r>
        <w:rPr>
          <w:rFonts w:hint="default" w:ascii="Times New Roman" w:hAnsi="Times New Roman" w:cs="Times New Roman"/>
        </w:rPr>
        <w:fldChar w:fldCharType="separate"/>
      </w:r>
      <w:r>
        <w:rPr>
          <w:rFonts w:hint="default" w:ascii="Times New Roman" w:hAnsi="Times New Roman" w:cs="Times New Roman"/>
        </w:rPr>
        <w:t>- 10 -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_Toc21525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5. 建设项目环评报告</w:t>
      </w:r>
      <w:r>
        <w:rPr>
          <w:rFonts w:hint="default" w:ascii="Times New Roman" w:hAnsi="Times New Roman" w:cs="Times New Roman"/>
          <w:szCs w:val="24"/>
          <w:lang w:val="en-US" w:eastAsia="zh-CN"/>
        </w:rPr>
        <w:t>表</w:t>
      </w:r>
      <w:r>
        <w:rPr>
          <w:rFonts w:hint="default" w:ascii="Times New Roman" w:hAnsi="Times New Roman" w:cs="Times New Roman"/>
          <w:szCs w:val="24"/>
        </w:rPr>
        <w:t>的主要结论与建议及审批部门审批决定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_Toc21525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_Toc20824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5.1建设项目环评报告</w:t>
      </w:r>
      <w:r>
        <w:rPr>
          <w:rFonts w:hint="default" w:ascii="Times New Roman" w:hAnsi="Times New Roman" w:eastAsia="宋体" w:cs="Times New Roman"/>
          <w:szCs w:val="24"/>
          <w:lang w:val="en-US" w:eastAsia="zh-CN"/>
        </w:rPr>
        <w:t>表</w:t>
      </w:r>
      <w:r>
        <w:rPr>
          <w:rFonts w:hint="default" w:ascii="Times New Roman" w:hAnsi="Times New Roman" w:eastAsia="宋体" w:cs="Times New Roman"/>
          <w:szCs w:val="24"/>
        </w:rPr>
        <w:t>的主要结论与建议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_Toc20824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_Toc16667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5.2审批部门审批决定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_Toc16667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_Toc10717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6. 验收执行标准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_Toc10717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_Toc15205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eastAsiaTheme="minorEastAsia"/>
          <w:kern w:val="44"/>
          <w:szCs w:val="24"/>
          <w:lang w:val="en-US" w:eastAsia="zh-CN"/>
        </w:rPr>
        <w:t>6.1废水排放标准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_Toc15205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_Toc1946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eastAsiaTheme="minorEastAsia"/>
          <w:kern w:val="44"/>
          <w:szCs w:val="24"/>
          <w:lang w:val="en-US" w:eastAsia="zh-CN"/>
        </w:rPr>
        <w:t>6.2废气污染物排放标准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_Toc1946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_Toc13312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eastAsiaTheme="minorEastAsia"/>
          <w:kern w:val="44"/>
          <w:szCs w:val="24"/>
          <w:lang w:val="en-US" w:eastAsia="zh-CN"/>
        </w:rPr>
        <w:t>6.3厂界噪声排放标准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_Toc13312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_Toc366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eastAsiaTheme="minorEastAsia"/>
          <w:kern w:val="44"/>
          <w:szCs w:val="24"/>
          <w:lang w:val="en-US" w:eastAsia="zh-CN"/>
        </w:rPr>
        <w:t>6.4固体废弃物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_Toc366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_Toc20536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7. 验收监测内容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_Toc20536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_Toc29136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kern w:val="44"/>
          <w:szCs w:val="24"/>
        </w:rPr>
        <w:t>7.1</w:t>
      </w:r>
      <w:r>
        <w:rPr>
          <w:rFonts w:hint="default" w:ascii="Times New Roman" w:hAnsi="Times New Roman" w:eastAsia="宋体" w:cs="Times New Roman"/>
          <w:kern w:val="44"/>
          <w:szCs w:val="24"/>
          <w:lang w:val="en-US" w:eastAsia="zh-CN"/>
        </w:rPr>
        <w:t>废水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_Toc29136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_Toc2449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kern w:val="44"/>
          <w:szCs w:val="24"/>
          <w:lang w:val="en-US" w:eastAsia="zh-CN"/>
        </w:rPr>
        <w:t>7.2废气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_Toc2449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_Toc6493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kern w:val="44"/>
          <w:szCs w:val="24"/>
          <w:lang w:val="en-US" w:eastAsia="zh-CN"/>
        </w:rPr>
        <w:t>7.3噪声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_Toc6493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_Toc16064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kern w:val="44"/>
          <w:szCs w:val="24"/>
          <w:lang w:val="en-US" w:eastAsia="zh-CN"/>
        </w:rPr>
        <w:t>7.4固废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_Toc16064 </w:instrText>
      </w:r>
      <w:r>
        <w:rPr>
          <w:rFonts w:hint="default" w:ascii="Times New Roman" w:hAnsi="Times New Roman" w:cs="Times New Roman"/>
        </w:rPr>
        <w:fldChar w:fldCharType="separate"/>
      </w:r>
      <w:r>
        <w:rPr>
          <w:rFonts w:hint="default" w:ascii="Times New Roman" w:hAnsi="Times New Roman" w:cs="Times New Roman"/>
        </w:rPr>
        <w:t>- 17 -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_Toc627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8. 质量保证及质量控制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_Toc627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_Toc17718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8.1监测分析方法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_Toc17718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_Toc5895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8.2监测仪器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_Toc5895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_Toc18489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8.3人员资质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_Toc18489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_Toc8671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8.4 水质监测分析过程中的质量保证和质量控制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_Toc8671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_Toc27048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lang w:val="en-US" w:eastAsia="zh-CN"/>
        </w:rPr>
        <w:t>8.5废气监测分析过程中的质量保证和质量控制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_Toc27048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_Toc32462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lang w:val="en-US" w:eastAsia="zh-CN"/>
        </w:rPr>
        <w:t>8.6 噪声监测分析过程中的质量保证和质量控制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_Toc32462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_Toc31181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9. 验收监测结果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_Toc31181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_Toc6570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9.1生产工况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_Toc6570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_Toc1784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9.2环境保护设施调试效果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_Toc6671 </w:instrText>
      </w:r>
      <w:r>
        <w:rPr>
          <w:rFonts w:hint="default" w:ascii="Times New Roman" w:hAnsi="Times New Roman" w:cs="Times New Roman"/>
          <w:bCs/>
          <w:szCs w:val="36"/>
          <w:lang w:val="en-US" w:eastAsia="zh-CN"/>
        </w:rPr>
        <w:fldChar w:fldCharType="separate"/>
      </w:r>
      <w:r>
        <w:rPr>
          <w:rFonts w:hint="default" w:ascii="Times New Roman" w:hAnsi="Times New Roman" w:cs="Times New Roman"/>
          <w:szCs w:val="24"/>
        </w:rPr>
        <w:t>10. 验收监测结论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_Toc6671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_Toc19125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10.1生产工况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_Toc19125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_Toc18995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10.2废水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_Toc18995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_Toc27092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10.3废气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_Toc27092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_Toc31060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10.4噪声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_Toc31060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_Toc26018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10.5固体废弃物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_Toc26018 </w:instrText>
      </w:r>
      <w:r>
        <w:rPr>
          <w:rFonts w:hint="default" w:ascii="Times New Roman" w:hAnsi="Times New Roman" w:cs="Times New Roman"/>
        </w:rPr>
        <w:fldChar w:fldCharType="separate"/>
      </w:r>
      <w:r>
        <w:rPr>
          <w:rFonts w:hint="default" w:ascii="Times New Roman" w:hAnsi="Times New Roman" w:cs="Times New Roman"/>
        </w:rPr>
        <w:t>- 26 -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bCs/>
          <w:szCs w:val="36"/>
          <w:lang w:val="en-US" w:eastAsia="zh-CN"/>
        </w:rPr>
        <w:fldChar w:fldCharType="begin"/>
      </w:r>
      <w:r>
        <w:rPr>
          <w:rFonts w:hint="default" w:ascii="Times New Roman" w:hAnsi="Times New Roman" w:cs="Times New Roman"/>
          <w:bCs/>
          <w:szCs w:val="36"/>
          <w:lang w:val="en-US" w:eastAsia="zh-CN"/>
        </w:rPr>
        <w:instrText xml:space="preserve"> HYPERLINK \l _Toc24190 </w:instrText>
      </w:r>
      <w:r>
        <w:rPr>
          <w:rFonts w:hint="default" w:ascii="Times New Roman" w:hAnsi="Times New Roman" w:cs="Times New Roman"/>
          <w:bCs/>
          <w:szCs w:val="36"/>
          <w:lang w:val="en-US" w:eastAsia="zh-CN"/>
        </w:rPr>
        <w:fldChar w:fldCharType="separate"/>
      </w:r>
      <w:r>
        <w:rPr>
          <w:rFonts w:hint="default" w:ascii="Times New Roman" w:hAnsi="Times New Roman" w:eastAsia="宋体" w:cs="Times New Roman"/>
          <w:szCs w:val="24"/>
        </w:rPr>
        <w:t>10.6总量控制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_Toc24190 </w:instrText>
      </w:r>
      <w:r>
        <w:rPr>
          <w:rFonts w:hint="default" w:ascii="Times New Roman" w:hAnsi="Times New Roman" w:cs="Times New Roman"/>
        </w:rPr>
        <w:fldChar w:fldCharType="separate"/>
      </w:r>
      <w:r>
        <w:rPr>
          <w:rFonts w:hint="default" w:ascii="Times New Roman" w:hAnsi="Times New Roman" w:cs="Times New Roman"/>
        </w:rPr>
        <w:t>- 27 -</w:t>
      </w:r>
      <w:r>
        <w:rPr>
          <w:rFonts w:hint="default" w:ascii="Times New Roman" w:hAnsi="Times New Roman" w:cs="Times New Roman"/>
        </w:rPr>
        <w:fldChar w:fldCharType="end"/>
      </w:r>
      <w:r>
        <w:rPr>
          <w:rFonts w:hint="default" w:ascii="Times New Roman" w:hAnsi="Times New Roman" w:cs="Times New Roman"/>
          <w:bCs/>
          <w:szCs w:val="36"/>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36"/>
          <w:szCs w:val="36"/>
          <w:lang w:val="en-US" w:eastAsia="zh-CN"/>
        </w:rPr>
      </w:pPr>
      <w:r>
        <w:rPr>
          <w:rFonts w:hint="default" w:ascii="Times New Roman" w:hAnsi="Times New Roman" w:cs="Times New Roman"/>
          <w:bCs/>
          <w:szCs w:val="36"/>
          <w:lang w:val="en-US" w:eastAsia="zh-CN"/>
        </w:rPr>
        <w:fldChar w:fldCharType="end"/>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30"/>
          <w:szCs w:val="30"/>
        </w:rPr>
        <w:t>附件：</w:t>
      </w:r>
    </w:p>
    <w:p>
      <w:pPr>
        <w:spacing w:line="360" w:lineRule="auto"/>
        <w:ind w:left="960" w:hanging="960" w:hangingChars="4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附件1  环评批复</w:t>
      </w:r>
    </w:p>
    <w:p>
      <w:pPr>
        <w:spacing w:line="360" w:lineRule="auto"/>
        <w:ind w:left="960" w:hanging="960" w:hangingChars="400"/>
        <w:rPr>
          <w:rFonts w:hint="default" w:ascii="Times New Roman" w:hAnsi="Times New Roman" w:cs="Times New Roman"/>
          <w:sz w:val="24"/>
          <w:szCs w:val="24"/>
          <w:lang w:val="en-US"/>
        </w:rPr>
      </w:pPr>
      <w:r>
        <w:rPr>
          <w:rFonts w:hint="default" w:ascii="Times New Roman" w:hAnsi="Times New Roman" w:cs="Times New Roman"/>
          <w:sz w:val="24"/>
          <w:szCs w:val="24"/>
        </w:rPr>
        <w:t>附件2  生活垃圾</w:t>
      </w:r>
      <w:r>
        <w:rPr>
          <w:rFonts w:hint="default" w:ascii="Times New Roman" w:hAnsi="Times New Roman" w:cs="Times New Roman"/>
          <w:sz w:val="24"/>
          <w:szCs w:val="24"/>
          <w:lang w:val="en-US" w:eastAsia="zh-CN"/>
        </w:rPr>
        <w:t>处理</w:t>
      </w:r>
      <w:r>
        <w:rPr>
          <w:rFonts w:hint="eastAsia" w:ascii="Times New Roman" w:hAnsi="Times New Roman" w:cs="Times New Roman"/>
          <w:sz w:val="24"/>
          <w:szCs w:val="24"/>
          <w:lang w:val="en-US" w:eastAsia="zh-CN"/>
        </w:rPr>
        <w:t>证明</w:t>
      </w:r>
    </w:p>
    <w:p>
      <w:pPr>
        <w:spacing w:line="360" w:lineRule="auto"/>
        <w:ind w:left="960" w:hanging="960" w:hangingChars="400"/>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附件3  </w:t>
      </w:r>
      <w:r>
        <w:rPr>
          <w:rFonts w:hint="eastAsia" w:ascii="Times New Roman" w:hAnsi="Times New Roman" w:cs="Times New Roman"/>
          <w:sz w:val="24"/>
          <w:szCs w:val="24"/>
          <w:lang w:val="en-US" w:eastAsia="zh-CN"/>
        </w:rPr>
        <w:t>城镇污水排入排水管网许可证</w:t>
      </w:r>
    </w:p>
    <w:p>
      <w:pPr>
        <w:spacing w:line="360" w:lineRule="auto"/>
        <w:ind w:left="960" w:hanging="960" w:hangingChars="400"/>
        <w:rPr>
          <w:rFonts w:hint="default" w:ascii="Times New Roman" w:hAnsi="Times New Roman" w:cs="Times New Roman"/>
          <w:sz w:val="24"/>
          <w:szCs w:val="24"/>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企业用水发票</w:t>
      </w:r>
    </w:p>
    <w:p>
      <w:pPr>
        <w:spacing w:line="360" w:lineRule="auto"/>
        <w:ind w:left="960" w:hanging="960" w:hangingChars="4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危废委托处置合同</w:t>
      </w:r>
    </w:p>
    <w:p>
      <w:pPr>
        <w:spacing w:line="360" w:lineRule="auto"/>
        <w:ind w:left="960" w:hanging="960" w:hangingChars="4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检测报告</w:t>
      </w:r>
    </w:p>
    <w:p>
      <w:pPr>
        <w:spacing w:line="360" w:lineRule="auto"/>
        <w:ind w:left="840" w:hanging="840" w:hangingChars="350"/>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30"/>
          <w:szCs w:val="30"/>
        </w:rPr>
      </w:pPr>
      <w:r>
        <w:rPr>
          <w:rFonts w:hint="default" w:ascii="Times New Roman" w:hAnsi="Times New Roman" w:cs="Times New Roman"/>
          <w:b/>
          <w:bCs/>
          <w:sz w:val="30"/>
          <w:szCs w:val="30"/>
        </w:rPr>
        <w:t>附图：</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附图1  </w:t>
      </w:r>
      <w:r>
        <w:rPr>
          <w:rFonts w:hint="default" w:ascii="Times New Roman" w:hAnsi="Times New Roman" w:cs="Times New Roman"/>
          <w:sz w:val="24"/>
          <w:szCs w:val="24"/>
          <w:lang w:val="en-US" w:eastAsia="zh-CN"/>
        </w:rPr>
        <w:t>项目</w:t>
      </w:r>
      <w:r>
        <w:rPr>
          <w:rFonts w:hint="default" w:ascii="Times New Roman" w:hAnsi="Times New Roman" w:cs="Times New Roman"/>
          <w:sz w:val="24"/>
          <w:szCs w:val="24"/>
        </w:rPr>
        <w:t>地理位置图</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附图2  项目周围环境关系图</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附图3  厂区平面布置</w:t>
      </w:r>
      <w:r>
        <w:rPr>
          <w:rFonts w:hint="default" w:ascii="Times New Roman" w:hAnsi="Times New Roman" w:cs="Times New Roman"/>
          <w:sz w:val="24"/>
          <w:szCs w:val="24"/>
          <w:lang w:val="en-US" w:eastAsia="zh-CN"/>
        </w:rPr>
        <w:t>及监测点位示意</w:t>
      </w:r>
      <w:r>
        <w:rPr>
          <w:rFonts w:hint="default" w:ascii="Times New Roman" w:hAnsi="Times New Roman" w:cs="Times New Roman"/>
          <w:sz w:val="24"/>
          <w:szCs w:val="24"/>
        </w:rPr>
        <w:t>图</w:t>
      </w:r>
    </w:p>
    <w:p>
      <w:pPr>
        <w:spacing w:line="480" w:lineRule="auto"/>
        <w:jc w:val="both"/>
        <w:rPr>
          <w:rFonts w:hint="default" w:ascii="Times New Roman" w:hAnsi="Times New Roman" w:cs="Times New Roman"/>
          <w:b/>
          <w:bCs/>
          <w:sz w:val="36"/>
          <w:szCs w:val="36"/>
          <w:lang w:val="en-US" w:eastAsia="zh-CN"/>
        </w:rPr>
      </w:pPr>
    </w:p>
    <w:p>
      <w:pPr>
        <w:spacing w:line="480" w:lineRule="auto"/>
        <w:jc w:val="center"/>
        <w:rPr>
          <w:rFonts w:hint="default" w:ascii="Times New Roman" w:hAnsi="Times New Roman" w:cs="Times New Roman"/>
          <w:b/>
          <w:bCs/>
          <w:sz w:val="36"/>
          <w:szCs w:val="36"/>
          <w:lang w:val="en-US" w:eastAsia="zh-CN"/>
        </w:rPr>
      </w:pPr>
    </w:p>
    <w:p>
      <w:pPr>
        <w:spacing w:line="480" w:lineRule="auto"/>
        <w:jc w:val="both"/>
        <w:rPr>
          <w:rFonts w:hint="default" w:ascii="Times New Roman" w:hAnsi="Times New Roman" w:cs="Times New Roman"/>
          <w:b/>
          <w:bCs/>
          <w:sz w:val="36"/>
          <w:szCs w:val="36"/>
          <w:lang w:val="en-US" w:eastAsia="zh-CN"/>
        </w:rPr>
        <w:sectPr>
          <w:headerReference r:id="rId3" w:type="default"/>
          <w:pgSz w:w="11906" w:h="16838"/>
          <w:pgMar w:top="1440" w:right="1800" w:bottom="1440" w:left="1800" w:header="850" w:footer="992" w:gutter="0"/>
          <w:pgBorders>
            <w:top w:val="none" w:sz="0" w:space="0"/>
            <w:left w:val="none" w:sz="0" w:space="0"/>
            <w:bottom w:val="none" w:sz="0" w:space="0"/>
            <w:right w:val="none" w:sz="0" w:space="0"/>
          </w:pgBorders>
          <w:cols w:space="0" w:num="1"/>
          <w:rtlGutter w:val="0"/>
          <w:docGrid w:type="lines" w:linePitch="312" w:charSpace="0"/>
        </w:sectPr>
      </w:pPr>
    </w:p>
    <w:p>
      <w:pPr>
        <w:pStyle w:val="2"/>
        <w:numPr>
          <w:ilvl w:val="0"/>
          <w:numId w:val="1"/>
        </w:numPr>
        <w:spacing w:before="0" w:after="0" w:line="360" w:lineRule="auto"/>
        <w:rPr>
          <w:rFonts w:hint="default" w:ascii="Times New Roman" w:hAnsi="Times New Roman" w:cs="Times New Roman"/>
          <w:sz w:val="24"/>
          <w:szCs w:val="24"/>
        </w:rPr>
      </w:pPr>
      <w:bookmarkStart w:id="0" w:name="_Toc14739"/>
      <w:bookmarkStart w:id="1" w:name="_Toc515273902"/>
      <w:r>
        <w:rPr>
          <w:rFonts w:hint="default" w:ascii="Times New Roman" w:hAnsi="Times New Roman" w:cs="Times New Roman"/>
          <w:sz w:val="24"/>
          <w:szCs w:val="24"/>
        </w:rPr>
        <w:t>验收项目概况</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浙江德沃轴承有限公司成立于2013年12月，是一家主营无油滚动轴承的生产企业。2015年企业决定投资4000万元，新建厂房、办公楼及附属用房，实施P1级、直径60毫米以上滚动轴承的生产。</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浙江德沃轴承有限公司于2015年4月委托嘉兴市求是环境工程咨询有限公司编制完成了《浙江德沃轴承有限公司新建年产P1级、直径60毫米以上滚动轴承500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日嘉善县环境保护局以报告表批复</w:t>
      </w:r>
      <w:r>
        <w:rPr>
          <w:rFonts w:hint="default" w:ascii="Times New Roman" w:hAnsi="Times New Roman" w:eastAsia="宋体" w:cs="Times New Roman"/>
          <w:sz w:val="24"/>
          <w:szCs w:val="24"/>
          <w:lang w:val="en-US" w:eastAsia="zh-CN"/>
        </w:rPr>
        <w:t>[201</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151</w:t>
      </w:r>
      <w:r>
        <w:rPr>
          <w:rFonts w:hint="default" w:ascii="Times New Roman" w:hAnsi="Times New Roman" w:eastAsia="宋体" w:cs="Times New Roman"/>
          <w:sz w:val="24"/>
          <w:szCs w:val="24"/>
          <w:lang w:val="en-US" w:eastAsia="zh-CN"/>
        </w:rPr>
        <w:t>号文出具了该</w:t>
      </w:r>
      <w:r>
        <w:rPr>
          <w:rFonts w:hint="default" w:ascii="Times New Roman" w:hAnsi="Times New Roman" w:cs="Times New Roman"/>
          <w:sz w:val="24"/>
          <w:szCs w:val="24"/>
          <w:lang w:val="en-US" w:eastAsia="zh-CN"/>
        </w:rPr>
        <w:t>项目的环境影响报告表的批复，批准该项目投入试生产。</w:t>
      </w:r>
      <w:r>
        <w:rPr>
          <w:rFonts w:hint="eastAsia" w:ascii="Times New Roman" w:hAnsi="Times New Roman" w:cs="Times New Roman"/>
          <w:sz w:val="24"/>
          <w:szCs w:val="24"/>
          <w:lang w:val="en-US" w:eastAsia="zh-CN"/>
        </w:rPr>
        <w:t>该项目总投资4000万元，其中环保投资26万元，占总投资额的0.65%。经自查，浙江德沃轴承有限公司新建年产P1级、直径60毫米以上滚动轴承500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eastAsia" w:ascii="Times New Roman" w:hAnsi="Times New Roman" w:cs="Times New Roman"/>
          <w:sz w:val="24"/>
          <w:szCs w:val="24"/>
          <w:lang w:val="en-US" w:eastAsia="zh-CN"/>
        </w:rPr>
        <w:t>环保手续齐全，生产设施和环保设施均已建成并运行正常，无重大变动，已具备了竣工环境保护验收条件，故决定启动环保验收工作。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eastAsia" w:ascii="Times New Roman" w:hAnsi="Times New Roman" w:cs="Times New Roman"/>
          <w:sz w:val="24"/>
          <w:szCs w:val="24"/>
          <w:lang w:val="en-US" w:eastAsia="zh-CN"/>
        </w:rPr>
        <w:t>生态环境部</w:t>
      </w:r>
      <w:r>
        <w:rPr>
          <w:rFonts w:hint="default" w:ascii="Times New Roman" w:hAnsi="Times New Roman" w:cs="Times New Roman"/>
          <w:sz w:val="24"/>
          <w:szCs w:val="24"/>
        </w:rPr>
        <w:t>颁布的《建设项目竣工环境保护验收暂行办法》和</w:t>
      </w:r>
      <w:r>
        <w:rPr>
          <w:rFonts w:hint="eastAsia" w:ascii="Times New Roman" w:hAnsi="Times New Roman"/>
          <w:b w:val="0"/>
          <w:bCs/>
          <w:color w:val="auto"/>
          <w:sz w:val="24"/>
        </w:rPr>
        <w:t>《浙江省建设项目环境保护管理办法》</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我公司</w:t>
      </w:r>
      <w:r>
        <w:rPr>
          <w:rFonts w:hint="default" w:ascii="Times New Roman" w:hAnsi="Times New Roman" w:cs="Times New Roman"/>
          <w:sz w:val="24"/>
          <w:szCs w:val="24"/>
        </w:rPr>
        <w:t>委托嘉兴威正检测服务有限公司</w:t>
      </w:r>
      <w:r>
        <w:rPr>
          <w:rFonts w:hint="eastAsia" w:ascii="Times New Roman" w:hAnsi="Times New Roman" w:cs="Times New Roman"/>
          <w:sz w:val="24"/>
          <w:szCs w:val="24"/>
          <w:lang w:val="en-US" w:eastAsia="zh-CN"/>
        </w:rPr>
        <w:t>对</w:t>
      </w:r>
      <w:r>
        <w:rPr>
          <w:rFonts w:hint="default" w:ascii="Times New Roman" w:hAnsi="Times New Roman" w:cs="Times New Roman"/>
          <w:sz w:val="24"/>
          <w:szCs w:val="24"/>
        </w:rPr>
        <w:t>本项目竣工环境保护验收</w:t>
      </w:r>
      <w:r>
        <w:rPr>
          <w:rFonts w:hint="eastAsia" w:ascii="Times New Roman" w:hAnsi="Times New Roman" w:cs="Times New Roman"/>
          <w:sz w:val="24"/>
          <w:szCs w:val="24"/>
          <w:lang w:val="en-US" w:eastAsia="zh-CN"/>
        </w:rPr>
        <w:t>进行现场</w:t>
      </w:r>
      <w:r>
        <w:rPr>
          <w:rFonts w:hint="default" w:ascii="Times New Roman" w:hAnsi="Times New Roman" w:cs="Times New Roman"/>
          <w:sz w:val="24"/>
          <w:szCs w:val="24"/>
        </w:rPr>
        <w:t>监测。嘉兴威正检测服务有限公司分别于201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29</w:t>
      </w:r>
      <w:r>
        <w:rPr>
          <w:rFonts w:hint="default" w:ascii="Times New Roman" w:hAnsi="Times New Roman" w:cs="Times New Roman"/>
          <w:sz w:val="24"/>
          <w:szCs w:val="24"/>
        </w:rPr>
        <w:t>日、</w:t>
      </w: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30</w:t>
      </w:r>
      <w:r>
        <w:rPr>
          <w:rFonts w:hint="default" w:ascii="Times New Roman" w:hAnsi="Times New Roman" w:cs="Times New Roman"/>
          <w:sz w:val="24"/>
          <w:szCs w:val="24"/>
        </w:rPr>
        <w:t>日对</w:t>
      </w:r>
      <w:r>
        <w:rPr>
          <w:rFonts w:hint="eastAsia" w:ascii="Times New Roman" w:hAnsi="Times New Roman" w:cs="Times New Roman"/>
          <w:sz w:val="24"/>
          <w:szCs w:val="24"/>
          <w:lang w:val="en-US" w:eastAsia="zh-CN"/>
        </w:rPr>
        <w:t>本项目</w:t>
      </w:r>
      <w:r>
        <w:rPr>
          <w:rFonts w:hint="default" w:ascii="Times New Roman" w:hAnsi="Times New Roman" w:cs="Times New Roman"/>
          <w:sz w:val="24"/>
          <w:szCs w:val="24"/>
        </w:rPr>
        <w:t>废气、废水、噪声和固体废弃物的排放情况进行了现场验收监测。我</w:t>
      </w:r>
      <w:r>
        <w:rPr>
          <w:rFonts w:hint="eastAsia" w:ascii="Times New Roman" w:hAnsi="Times New Roman" w:cs="Times New Roman"/>
          <w:sz w:val="24"/>
          <w:szCs w:val="24"/>
          <w:lang w:val="en-US" w:eastAsia="zh-CN"/>
        </w:rPr>
        <w:t>公司</w:t>
      </w:r>
      <w:r>
        <w:rPr>
          <w:rFonts w:hint="default" w:ascii="Times New Roman" w:hAnsi="Times New Roman" w:cs="Times New Roman"/>
          <w:sz w:val="24"/>
          <w:szCs w:val="24"/>
        </w:rPr>
        <w:t>对该项目“三同时”执行情况、环境保护设施建设、环境保护管理、绿化等方面进行了检查，在综合分析现场监测数据和相关资料的基础上，编写了《</w:t>
      </w:r>
      <w:r>
        <w:rPr>
          <w:rFonts w:hint="eastAsia" w:ascii="Times New Roman" w:hAnsi="Times New Roman" w:cs="Times New Roman"/>
          <w:sz w:val="24"/>
          <w:szCs w:val="24"/>
          <w:lang w:val="en-US" w:eastAsia="zh-CN"/>
        </w:rPr>
        <w:t>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default" w:ascii="Times New Roman" w:hAnsi="Times New Roman" w:cs="Times New Roman"/>
          <w:sz w:val="24"/>
          <w:szCs w:val="24"/>
        </w:rPr>
        <w:t>竣工环境保护验收监测报告》。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p>
    <w:p>
      <w:pPr>
        <w:spacing w:line="360" w:lineRule="auto"/>
        <w:ind w:firstLine="480" w:firstLineChars="200"/>
        <w:rPr>
          <w:rFonts w:hint="eastAsia" w:ascii="Times New Roman" w:hAnsi="Times New Roman" w:cs="Times New Roman"/>
          <w:sz w:val="24"/>
          <w:szCs w:val="24"/>
          <w:lang w:val="en-US" w:eastAsia="zh-CN"/>
        </w:rPr>
      </w:pPr>
    </w:p>
    <w:p>
      <w:pPr>
        <w:pStyle w:val="2"/>
        <w:numPr>
          <w:ilvl w:val="0"/>
          <w:numId w:val="1"/>
        </w:numPr>
        <w:spacing w:before="0" w:after="0" w:line="360" w:lineRule="auto"/>
        <w:rPr>
          <w:rFonts w:hint="default" w:ascii="Times New Roman" w:hAnsi="Times New Roman" w:cs="Times New Roman"/>
          <w:sz w:val="24"/>
          <w:szCs w:val="24"/>
        </w:rPr>
      </w:pPr>
      <w:bookmarkStart w:id="2" w:name="_Toc11029"/>
      <w:r>
        <w:rPr>
          <w:rFonts w:hint="default" w:ascii="Times New Roman" w:hAnsi="Times New Roman" w:cs="Times New Roman"/>
          <w:sz w:val="24"/>
          <w:szCs w:val="24"/>
        </w:rPr>
        <w:t>验收</w:t>
      </w:r>
      <w:r>
        <w:rPr>
          <w:rFonts w:hint="default" w:ascii="Times New Roman" w:hAnsi="Times New Roman" w:cs="Times New Roman"/>
          <w:sz w:val="24"/>
          <w:szCs w:val="24"/>
          <w:lang w:val="en-US" w:eastAsia="zh-CN"/>
        </w:rPr>
        <w:t>依据</w:t>
      </w:r>
      <w:bookmarkEnd w:id="2"/>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中华人民共和国环境保护法</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zh-CN" w:eastAsia="zh-CN"/>
        </w:rPr>
        <w:t>，2015年1月1日实施；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zh-CN" w:eastAsia="zh-CN"/>
        </w:rPr>
      </w:pPr>
      <w:r>
        <w:rPr>
          <w:rFonts w:hint="default" w:ascii="Times New Roman" w:hAnsi="Times New Roman" w:cs="Times New Roman"/>
          <w:sz w:val="24"/>
          <w:szCs w:val="24"/>
          <w:lang w:val="zh-CN" w:eastAsia="zh-CN"/>
        </w:rPr>
        <w:t>中华人民共和国主席令[2016]第 31 号《中华人民共和国大气污染防治法》（2018.10.26 修改通过，即日施行）；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zh-CN" w:eastAsia="zh-CN"/>
        </w:rPr>
      </w:pPr>
      <w:r>
        <w:rPr>
          <w:rFonts w:hint="default" w:ascii="Times New Roman" w:hAnsi="Times New Roman" w:cs="Times New Roman"/>
          <w:sz w:val="24"/>
          <w:szCs w:val="24"/>
          <w:lang w:val="zh-CN" w:eastAsia="zh-CN"/>
        </w:rPr>
        <w:t>中华人民共和国主席令第87</w:t>
      </w:r>
      <w:r>
        <w:rPr>
          <w:rFonts w:hint="default" w:ascii="Times New Roman" w:hAnsi="Times New Roman" w:cs="Times New Roman"/>
          <w:sz w:val="24"/>
          <w:szCs w:val="24"/>
          <w:lang w:val="en-US" w:eastAsia="zh-CN"/>
        </w:rPr>
        <w:t>号</w:t>
      </w:r>
      <w:r>
        <w:rPr>
          <w:rFonts w:hint="default" w:ascii="Times New Roman" w:hAnsi="Times New Roman" w:cs="Times New Roman"/>
          <w:sz w:val="24"/>
          <w:szCs w:val="24"/>
          <w:lang w:val="zh-CN" w:eastAsia="zh-CN"/>
        </w:rPr>
        <w:t>《中华人民共和国水污染防治法》（2018年 1 月 1 日起施行）；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zh-CN" w:eastAsia="zh-CN"/>
        </w:rPr>
        <w:t>中华人民共和国主席令[1996]第 77 号《中华人民共和国环境噪声</w:t>
      </w:r>
      <w:r>
        <w:rPr>
          <w:rFonts w:hint="eastAsia" w:ascii="Times New Roman" w:hAnsi="Times New Roman" w:cs="Times New Roman"/>
          <w:sz w:val="24"/>
          <w:szCs w:val="24"/>
          <w:lang w:val="en-US" w:eastAsia="zh-CN"/>
        </w:rPr>
        <w:t>污染</w:t>
      </w:r>
      <w:r>
        <w:rPr>
          <w:rFonts w:hint="default" w:ascii="Times New Roman" w:hAnsi="Times New Roman" w:cs="Times New Roman"/>
          <w:sz w:val="24"/>
          <w:szCs w:val="24"/>
          <w:lang w:val="zh-CN" w:eastAsia="zh-CN"/>
        </w:rPr>
        <w:t>防治法》（2018.12.29 修改通过，即日施行）；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zh-CN" w:eastAsia="zh-CN"/>
        </w:rPr>
      </w:pPr>
      <w:r>
        <w:rPr>
          <w:rFonts w:hint="default" w:ascii="Times New Roman" w:hAnsi="Times New Roman" w:cs="Times New Roman"/>
          <w:sz w:val="24"/>
          <w:szCs w:val="24"/>
          <w:lang w:val="en-US" w:eastAsia="zh-CN"/>
        </w:rPr>
        <w:t>中华人民共和国主席令[2016]第 57 号《中华人民共和国固体废物</w:t>
      </w:r>
      <w:r>
        <w:rPr>
          <w:rFonts w:hint="eastAsia" w:ascii="Times New Roman" w:hAnsi="Times New Roman" w:cs="Times New Roman"/>
          <w:sz w:val="24"/>
          <w:szCs w:val="24"/>
          <w:lang w:val="en-US" w:eastAsia="zh-CN"/>
        </w:rPr>
        <w:t>污染环境</w:t>
      </w:r>
      <w:r>
        <w:rPr>
          <w:rFonts w:hint="default" w:ascii="Times New Roman" w:hAnsi="Times New Roman" w:cs="Times New Roman"/>
          <w:sz w:val="24"/>
          <w:szCs w:val="24"/>
          <w:lang w:val="en-US" w:eastAsia="zh-CN"/>
        </w:rPr>
        <w:t>防治法》（2016.11.7 起施行）；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《建设项目环境保护管理条例》（国务院令第682号修改）；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环境保护部</w:t>
      </w:r>
      <w:r>
        <w:rPr>
          <w:rFonts w:hint="default" w:ascii="Times New Roman" w:hAnsi="Times New Roman" w:eastAsia="宋体" w:cs="Times New Roman"/>
          <w:color w:val="000000"/>
          <w:sz w:val="24"/>
          <w:szCs w:val="24"/>
        </w:rPr>
        <w:t>环办[2015]113号</w:t>
      </w:r>
      <w:r>
        <w:rPr>
          <w:rFonts w:hint="default" w:ascii="Times New Roman" w:hAnsi="Times New Roman" w:cs="Times New Roman"/>
          <w:sz w:val="24"/>
          <w:szCs w:val="24"/>
        </w:rPr>
        <w:t>关于印发建设项目竣工环境保护验收现场检查及审查要点的通知</w:t>
      </w:r>
      <w:r>
        <w:rPr>
          <w:rFonts w:hint="default" w:ascii="Times New Roman" w:hAnsi="Times New Roman" w:cs="Times New Roman"/>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环境保护部国环规环评[2017]4号《建设项目竣工环境保护验收暂行办法》；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环境保护部环办[2015]52号关于印发环评管理中部分行业建设项目重大变动清单的通知；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生态环境部公告2018年第9号《建设项目竣工环境保护验收技术指南污染影响类》；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浙江省人民政府令第364号《浙江省建设项目环境保护管理办法》；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嘉兴市求是环境工程咨询有限公司《</w:t>
      </w:r>
      <w:r>
        <w:rPr>
          <w:rFonts w:hint="eastAsia" w:ascii="Times New Roman" w:hAnsi="Times New Roman" w:cs="Times New Roman"/>
          <w:sz w:val="24"/>
          <w:szCs w:val="24"/>
          <w:lang w:val="en-US" w:eastAsia="zh-CN"/>
        </w:rPr>
        <w:t>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sz w:val="24"/>
          <w:szCs w:val="24"/>
          <w:lang w:val="en-US" w:eastAsia="zh-CN"/>
        </w:rPr>
        <w:t>嘉善县环境保护局报告表批复</w:t>
      </w:r>
      <w:r>
        <w:rPr>
          <w:rFonts w:hint="default" w:ascii="Times New Roman" w:hAnsi="Times New Roman" w:eastAsia="宋体" w:cs="Times New Roman"/>
          <w:sz w:val="24"/>
          <w:szCs w:val="24"/>
          <w:lang w:val="en-US" w:eastAsia="zh-CN"/>
        </w:rPr>
        <w:t>[201</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51</w:t>
      </w:r>
      <w:r>
        <w:rPr>
          <w:rFonts w:hint="default" w:ascii="Times New Roman" w:hAnsi="Times New Roman" w:cs="Times New Roman"/>
          <w:sz w:val="24"/>
          <w:szCs w:val="24"/>
        </w:rPr>
        <w:t>号</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sz w:val="24"/>
          <w:szCs w:val="24"/>
          <w:lang w:val="en-US" w:eastAsia="zh-CN"/>
        </w:rPr>
        <w:t>关于</w:t>
      </w:r>
      <w:r>
        <w:rPr>
          <w:rFonts w:hint="eastAsia" w:ascii="Times New Roman" w:hAnsi="Times New Roman" w:cs="Times New Roman"/>
          <w:sz w:val="24"/>
          <w:szCs w:val="24"/>
          <w:lang w:val="en-US" w:eastAsia="zh-CN"/>
        </w:rPr>
        <w:t>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default" w:ascii="Times New Roman" w:hAnsi="Times New Roman" w:cs="Times New Roman"/>
          <w:sz w:val="24"/>
          <w:szCs w:val="24"/>
          <w:lang w:val="en-US" w:eastAsia="zh-CN"/>
        </w:rPr>
        <w:t>环境影响报告表审查意见的函</w:t>
      </w:r>
      <w:r>
        <w:rPr>
          <w:rFonts w:hint="default" w:ascii="Times New Roman" w:hAnsi="Times New Roman" w:cs="Times New Roman" w:eastAsiaTheme="minorEastAsia"/>
          <w:sz w:val="24"/>
          <w:szCs w:val="24"/>
          <w:lang w:val="en-US" w:eastAsia="zh-CN"/>
        </w:rPr>
        <w:t>》</w:t>
      </w:r>
      <w:r>
        <w:rPr>
          <w:rFonts w:hint="eastAsia" w:ascii="Times New Roman" w:hAnsi="Times New Roman" w:cs="Times New Roman"/>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cs="Times New Roman"/>
          <w:sz w:val="24"/>
          <w:szCs w:val="24"/>
          <w:lang w:val="en-US" w:eastAsia="zh-CN"/>
        </w:rPr>
      </w:pPr>
    </w:p>
    <w:p>
      <w:pPr>
        <w:pStyle w:val="2"/>
        <w:pageBreakBefore w:val="0"/>
        <w:widowControl w:val="0"/>
        <w:numPr>
          <w:ilvl w:val="0"/>
          <w:numId w:val="1"/>
        </w:numPr>
        <w:kinsoku/>
        <w:wordWrap/>
        <w:overflowPunct/>
        <w:topLinePunct w:val="0"/>
        <w:autoSpaceDE/>
        <w:autoSpaceDN/>
        <w:bidi w:val="0"/>
        <w:adjustRightInd/>
        <w:spacing w:before="0" w:after="0" w:line="360" w:lineRule="auto"/>
        <w:textAlignment w:val="auto"/>
        <w:rPr>
          <w:rFonts w:hint="default" w:ascii="Times New Roman" w:hAnsi="Times New Roman" w:cs="Times New Roman"/>
          <w:sz w:val="24"/>
          <w:szCs w:val="24"/>
        </w:rPr>
      </w:pPr>
      <w:bookmarkStart w:id="3" w:name="_Toc5904"/>
      <w:bookmarkStart w:id="4" w:name="_Toc515273904"/>
      <w:r>
        <w:rPr>
          <w:rFonts w:hint="default" w:ascii="Times New Roman" w:hAnsi="Times New Roman" w:cs="Times New Roman"/>
          <w:sz w:val="24"/>
          <w:szCs w:val="24"/>
        </w:rPr>
        <w:t>工程建设情况</w:t>
      </w:r>
      <w:bookmarkEnd w:id="3"/>
      <w:bookmarkEnd w:id="4"/>
    </w:p>
    <w:p>
      <w:pPr>
        <w:pStyle w:val="3"/>
        <w:pageBreakBefore w:val="0"/>
        <w:widowControl w:val="0"/>
        <w:kinsoku/>
        <w:wordWrap/>
        <w:overflowPunct/>
        <w:topLinePunct w:val="0"/>
        <w:autoSpaceDE/>
        <w:autoSpaceDN/>
        <w:bidi w:val="0"/>
        <w:adjustRightInd/>
        <w:spacing w:before="0" w:after="0" w:line="360" w:lineRule="auto"/>
        <w:textAlignment w:val="auto"/>
        <w:rPr>
          <w:rFonts w:hint="default" w:ascii="Times New Roman" w:hAnsi="Times New Roman" w:eastAsia="宋体" w:cs="Times New Roman"/>
          <w:sz w:val="24"/>
          <w:szCs w:val="24"/>
        </w:rPr>
      </w:pPr>
      <w:bookmarkStart w:id="5" w:name="_Toc14598"/>
      <w:bookmarkStart w:id="6" w:name="_Toc515273905"/>
      <w:r>
        <w:rPr>
          <w:rFonts w:hint="default" w:ascii="Times New Roman" w:hAnsi="Times New Roman" w:eastAsia="宋体" w:cs="Times New Roman"/>
          <w:sz w:val="24"/>
          <w:szCs w:val="24"/>
        </w:rPr>
        <w:t>3.1地理位置及平面布置</w:t>
      </w:r>
      <w:bookmarkEnd w:id="5"/>
      <w:bookmarkEnd w:id="6"/>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w:t>
      </w:r>
      <w:r>
        <w:rPr>
          <w:rFonts w:hint="default" w:ascii="Times New Roman" w:hAnsi="Times New Roman" w:cs="Times New Roman"/>
          <w:sz w:val="24"/>
          <w:szCs w:val="24"/>
          <w:lang w:val="en-US" w:eastAsia="zh-CN"/>
        </w:rPr>
        <w:t>位于</w:t>
      </w:r>
      <w:r>
        <w:rPr>
          <w:rFonts w:hint="eastAsia" w:ascii="Times New Roman" w:hAnsi="Times New Roman" w:cs="Times New Roman"/>
          <w:sz w:val="24"/>
          <w:szCs w:val="24"/>
          <w:lang w:val="en-US" w:eastAsia="zh-CN"/>
        </w:rPr>
        <w:t>嘉善县魏塘街道振中路88号，</w:t>
      </w:r>
      <w:r>
        <w:rPr>
          <w:rFonts w:hint="default" w:ascii="Times New Roman" w:hAnsi="Times New Roman" w:cs="Times New Roman"/>
          <w:sz w:val="24"/>
          <w:szCs w:val="24"/>
          <w:lang w:val="en-US" w:eastAsia="zh-CN"/>
        </w:rPr>
        <w:t>周围环境状况为：</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东侧</w:t>
      </w:r>
      <w:r>
        <w:rPr>
          <w:rFonts w:hint="eastAsia" w:ascii="Times New Roman" w:hAnsi="Times New Roman" w:cs="Times New Roman"/>
          <w:sz w:val="24"/>
          <w:szCs w:val="24"/>
          <w:lang w:val="en-US" w:eastAsia="zh-CN"/>
        </w:rPr>
        <w:t>：紧邻嘉善嘉诚胶合板厂，再往东为恒企软木制品厂。</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南侧</w:t>
      </w:r>
      <w:r>
        <w:rPr>
          <w:rFonts w:hint="eastAsia" w:ascii="Times New Roman" w:hAnsi="Times New Roman" w:cs="Times New Roman"/>
          <w:sz w:val="24"/>
          <w:szCs w:val="24"/>
          <w:lang w:val="en-US" w:eastAsia="zh-CN"/>
        </w:rPr>
        <w:t>：紧邻善江公路，隔路为规划商住混合用地，西南侧隔善江公路为水韵金城小区。</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西侧</w:t>
      </w:r>
      <w:r>
        <w:rPr>
          <w:rFonts w:hint="eastAsia" w:ascii="Times New Roman" w:hAnsi="Times New Roman" w:cs="Times New Roman"/>
          <w:sz w:val="24"/>
          <w:szCs w:val="24"/>
          <w:lang w:val="en-US" w:eastAsia="zh-CN"/>
        </w:rPr>
        <w:t>：隔芦枯港为国际木雕城。</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北侧</w:t>
      </w:r>
      <w:r>
        <w:rPr>
          <w:rFonts w:hint="eastAsia" w:ascii="Times New Roman" w:hAnsi="Times New Roman" w:cs="Times New Roman"/>
          <w:sz w:val="24"/>
          <w:szCs w:val="24"/>
          <w:lang w:val="en-US" w:eastAsia="zh-CN"/>
        </w:rPr>
        <w:t xml:space="preserve">：隔倪家泾港为圣诺盟（浙江）聚氨酯家居用品有限公司。 </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具体地理位置、厂区布置见附图1~3。</w:t>
      </w:r>
    </w:p>
    <w:p>
      <w:pPr>
        <w:pStyle w:val="3"/>
        <w:spacing w:before="0" w:after="0" w:line="360" w:lineRule="auto"/>
        <w:rPr>
          <w:rFonts w:hint="default" w:ascii="Times New Roman" w:hAnsi="Times New Roman" w:eastAsia="宋体" w:cs="Times New Roman"/>
          <w:sz w:val="24"/>
          <w:szCs w:val="24"/>
        </w:rPr>
      </w:pPr>
      <w:bookmarkStart w:id="7" w:name="_Toc27425"/>
      <w:bookmarkStart w:id="8" w:name="_Toc515273906"/>
      <w:r>
        <w:rPr>
          <w:rFonts w:hint="default" w:ascii="Times New Roman" w:hAnsi="Times New Roman" w:eastAsia="宋体" w:cs="Times New Roman"/>
          <w:sz w:val="24"/>
          <w:szCs w:val="24"/>
        </w:rPr>
        <w:t>3.2建设内容</w:t>
      </w:r>
      <w:bookmarkEnd w:id="7"/>
      <w:bookmarkEnd w:id="8"/>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浙江德沃轴承有限公司新建年产P1级、直径60毫米以上滚动轴承500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件生产项目</w:t>
      </w:r>
      <w:r>
        <w:rPr>
          <w:rFonts w:hint="eastAsia" w:ascii="Times New Roman" w:hAnsi="Times New Roman" w:cs="Times New Roman"/>
          <w:sz w:val="24"/>
          <w:szCs w:val="24"/>
          <w:lang w:val="en-US" w:eastAsia="zh-CN"/>
        </w:rPr>
        <w:t>，属于新建项目，建设地点为嘉善县魏塘街道振中路88号，新建生产厂房、办公楼及辅助用房，同时购置数控机床、磨床、铣床等设备进行生产。本项目实际总投资4000万元，其中环保投资</w:t>
      </w:r>
      <w:r>
        <w:rPr>
          <w:rFonts w:hint="eastAsia" w:ascii="Times New Roman" w:hAnsi="Times New Roman" w:cs="Times New Roman"/>
          <w:color w:val="auto"/>
          <w:sz w:val="24"/>
          <w:szCs w:val="24"/>
          <w:lang w:val="en-US" w:eastAsia="zh-CN"/>
        </w:rPr>
        <w:t>26万元</w:t>
      </w:r>
      <w:r>
        <w:rPr>
          <w:rFonts w:hint="eastAsia" w:ascii="Times New Roman" w:hAnsi="Times New Roman" w:cs="Times New Roman"/>
          <w:sz w:val="24"/>
          <w:szCs w:val="24"/>
          <w:lang w:val="en-US" w:eastAsia="zh-CN"/>
        </w:rPr>
        <w:t>，设计规模为年产P1级、直径60毫米以上滚动轴承500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w:t>
      </w:r>
      <w:r>
        <w:rPr>
          <w:rFonts w:hint="eastAsia" w:ascii="Times New Roman" w:hAnsi="Times New Roman" w:cs="Times New Roman"/>
          <w:sz w:val="24"/>
          <w:szCs w:val="24"/>
          <w:lang w:val="en-US" w:eastAsia="zh-CN"/>
        </w:rPr>
        <w:t>目前该项目设备达产产能为年产P1级、直径60毫米以上滚动轴承500</w:t>
      </w:r>
      <w:r>
        <w:rPr>
          <w:rFonts w:hint="eastAsia" w:ascii="Times New Roman" w:hAnsi="Times New Roman" w:eastAsia="宋体" w:cs="Times New Roman"/>
          <w:sz w:val="24"/>
          <w:szCs w:val="24"/>
          <w:lang w:val="en-US" w:eastAsia="zh-CN"/>
        </w:rPr>
        <w:t>万</w:t>
      </w:r>
      <w:r>
        <w:rPr>
          <w:rFonts w:hint="eastAsia" w:ascii="Times New Roman" w:hAnsi="Times New Roman" w:cs="Times New Roman"/>
          <w:sz w:val="24"/>
          <w:szCs w:val="24"/>
          <w:lang w:val="en-US" w:eastAsia="zh-CN"/>
        </w:rPr>
        <w:t>套/</w:t>
      </w:r>
      <w:r>
        <w:rPr>
          <w:rFonts w:hint="eastAsia" w:ascii="Times New Roman" w:hAnsi="Times New Roman" w:eastAsia="宋体" w:cs="Times New Roman"/>
          <w:sz w:val="24"/>
          <w:szCs w:val="24"/>
          <w:lang w:val="en-US" w:eastAsia="zh-CN"/>
        </w:rPr>
        <w:t>件。</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企业现有员工</w:t>
      </w:r>
      <w:r>
        <w:rPr>
          <w:rFonts w:hint="eastAsia" w:ascii="Times New Roman" w:hAnsi="Times New Roman" w:cs="Times New Roman"/>
          <w:color w:val="auto"/>
          <w:sz w:val="24"/>
          <w:szCs w:val="24"/>
          <w:lang w:val="en-US" w:eastAsia="zh-CN"/>
        </w:rPr>
        <w:t>125</w:t>
      </w:r>
      <w:r>
        <w:rPr>
          <w:rFonts w:hint="eastAsia" w:ascii="Times New Roman" w:hAnsi="Times New Roman" w:cs="Times New Roman"/>
          <w:sz w:val="24"/>
          <w:szCs w:val="24"/>
          <w:lang w:val="en-US" w:eastAsia="zh-CN"/>
        </w:rPr>
        <w:t>人</w:t>
      </w:r>
      <w:r>
        <w:rPr>
          <w:rFonts w:hint="default" w:ascii="Times New Roman" w:hAnsi="Times New Roman" w:cs="Times New Roman" w:eastAsiaTheme="minorEastAsia"/>
          <w:sz w:val="24"/>
          <w:szCs w:val="24"/>
        </w:rPr>
        <w:t>，生产实行</w:t>
      </w:r>
      <w:r>
        <w:rPr>
          <w:rFonts w:hint="eastAsia" w:ascii="Times New Roman" w:hAnsi="Times New Roman" w:cs="Times New Roman"/>
          <w:sz w:val="24"/>
          <w:szCs w:val="24"/>
          <w:lang w:val="en-US" w:eastAsia="zh-CN"/>
        </w:rPr>
        <w:t>1</w:t>
      </w:r>
      <w:r>
        <w:rPr>
          <w:rFonts w:hint="default" w:ascii="Times New Roman" w:hAnsi="Times New Roman" w:cs="Times New Roman" w:eastAsiaTheme="minorEastAsia"/>
          <w:sz w:val="24"/>
          <w:szCs w:val="24"/>
        </w:rPr>
        <w:t>班制，</w:t>
      </w:r>
      <w:r>
        <w:rPr>
          <w:rFonts w:hint="eastAsia" w:ascii="Times New Roman" w:hAnsi="Times New Roman" w:cs="Times New Roman"/>
          <w:sz w:val="24"/>
          <w:szCs w:val="24"/>
          <w:lang w:val="en-US" w:eastAsia="zh-CN"/>
        </w:rPr>
        <w:t>8</w:t>
      </w:r>
      <w:r>
        <w:rPr>
          <w:rFonts w:hint="default" w:ascii="Times New Roman" w:hAnsi="Times New Roman" w:cs="Times New Roman" w:eastAsiaTheme="minorEastAsia"/>
          <w:sz w:val="24"/>
          <w:szCs w:val="24"/>
        </w:rPr>
        <w:t>h生产，年工作天数为</w:t>
      </w:r>
      <w:r>
        <w:rPr>
          <w:rFonts w:hint="default" w:ascii="Times New Roman" w:hAnsi="Times New Roman" w:cs="Times New Roman"/>
          <w:sz w:val="24"/>
          <w:szCs w:val="24"/>
          <w:lang w:val="en-US" w:eastAsia="zh-CN"/>
        </w:rPr>
        <w:t>300</w:t>
      </w:r>
      <w:r>
        <w:rPr>
          <w:rFonts w:hint="default" w:ascii="Times New Roman" w:hAnsi="Times New Roman" w:cs="Times New Roman" w:eastAsiaTheme="minorEastAsia"/>
          <w:sz w:val="24"/>
          <w:szCs w:val="24"/>
        </w:rPr>
        <w:t>d</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环评设备及实际设备清单对照见表3-</w:t>
      </w:r>
      <w:r>
        <w:rPr>
          <w:rFonts w:hint="eastAsia" w:ascii="Times New Roman" w:hAnsi="Times New Roman" w:cs="Times New Roman"/>
          <w:sz w:val="24"/>
          <w:szCs w:val="24"/>
          <w:lang w:val="en-US" w:eastAsia="zh-CN"/>
        </w:rPr>
        <w:t>1。</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eastAsiaTheme="minorEastAsia"/>
          <w:b/>
          <w:bCs/>
          <w:color w:val="auto"/>
          <w:lang w:eastAsia="zh-CN"/>
        </w:rPr>
      </w:pPr>
      <w:r>
        <w:rPr>
          <w:rFonts w:hint="default" w:ascii="Times New Roman" w:hAnsi="Times New Roman" w:cs="Times New Roman"/>
          <w:b/>
          <w:bCs/>
          <w:color w:val="auto"/>
        </w:rPr>
        <w:t>表3-</w:t>
      </w:r>
      <w:r>
        <w:rPr>
          <w:rFonts w:hint="eastAsia" w:ascii="Times New Roman" w:hAnsi="Times New Roman" w:cs="Times New Roman"/>
          <w:b/>
          <w:bCs/>
          <w:color w:val="auto"/>
          <w:lang w:val="en-US" w:eastAsia="zh-CN"/>
        </w:rPr>
        <w:t>1</w:t>
      </w:r>
      <w:r>
        <w:rPr>
          <w:rFonts w:hint="default" w:ascii="Times New Roman" w:hAnsi="Times New Roman" w:cs="Times New Roman"/>
          <w:b/>
          <w:bCs/>
          <w:color w:val="auto"/>
        </w:rPr>
        <w:t xml:space="preserve">  环评设备及实际设备清单对照一览表</w:t>
      </w:r>
      <w:r>
        <w:rPr>
          <w:rFonts w:hint="default" w:ascii="Times New Roman" w:hAnsi="Times New Roman" w:cs="Times New Roman"/>
          <w:b/>
          <w:bCs/>
          <w:color w:val="auto"/>
          <w:lang w:eastAsia="zh-CN"/>
        </w:rPr>
        <w:t>（</w:t>
      </w:r>
      <w:r>
        <w:rPr>
          <w:rFonts w:hint="default" w:ascii="Times New Roman" w:hAnsi="Times New Roman" w:cs="Times New Roman"/>
          <w:b/>
          <w:bCs/>
          <w:color w:val="auto"/>
          <w:lang w:val="en-US" w:eastAsia="zh-CN"/>
        </w:rPr>
        <w:t>单位：台</w:t>
      </w:r>
      <w:r>
        <w:rPr>
          <w:rFonts w:hint="default" w:ascii="Times New Roman" w:hAnsi="Times New Roman" w:cs="Times New Roman"/>
          <w:b/>
          <w:bCs/>
          <w:color w:val="auto"/>
          <w:lang w:eastAsia="zh-CN"/>
        </w:rPr>
        <w:t>）</w:t>
      </w:r>
    </w:p>
    <w:tbl>
      <w:tblPr>
        <w:tblStyle w:val="16"/>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21"/>
        <w:gridCol w:w="2393"/>
        <w:gridCol w:w="1814"/>
        <w:gridCol w:w="1790"/>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序</w:t>
            </w:r>
            <w:r>
              <w:rPr>
                <w:rFonts w:hint="default" w:ascii="Times New Roman" w:hAnsi="Times New Roman" w:cs="Times New Roman"/>
                <w:color w:val="auto"/>
                <w:kern w:val="0"/>
                <w:sz w:val="21"/>
                <w:szCs w:val="21"/>
              </w:rPr>
              <w:t>号</w:t>
            </w:r>
          </w:p>
        </w:tc>
        <w:tc>
          <w:tcPr>
            <w:tcW w:w="2393" w:type="dxa"/>
            <w:tcBorders>
              <w:tl2br w:val="nil"/>
              <w:tr2bl w:val="nil"/>
            </w:tcBorders>
            <w:vAlign w:val="center"/>
          </w:tcPr>
          <w:p>
            <w:pPr>
              <w:widowControl/>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设备名称</w:t>
            </w:r>
          </w:p>
        </w:tc>
        <w:tc>
          <w:tcPr>
            <w:tcW w:w="1814" w:type="dxa"/>
            <w:tcBorders>
              <w:tl2br w:val="nil"/>
              <w:tr2bl w:val="nil"/>
            </w:tcBorders>
            <w:vAlign w:val="center"/>
          </w:tcPr>
          <w:p>
            <w:pPr>
              <w:widowControl/>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型号</w:t>
            </w:r>
          </w:p>
        </w:tc>
        <w:tc>
          <w:tcPr>
            <w:tcW w:w="1790" w:type="dxa"/>
            <w:tcBorders>
              <w:tl2br w:val="nil"/>
              <w:tr2bl w:val="nil"/>
            </w:tcBorders>
            <w:vAlign w:val="center"/>
          </w:tcPr>
          <w:p>
            <w:pPr>
              <w:widowControl/>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环评</w:t>
            </w:r>
            <w:r>
              <w:rPr>
                <w:rFonts w:hint="default" w:ascii="Times New Roman" w:hAnsi="Times New Roman" w:cs="Times New Roman"/>
                <w:color w:val="auto"/>
                <w:kern w:val="0"/>
                <w:sz w:val="21"/>
                <w:szCs w:val="21"/>
                <w:lang w:val="en-US" w:eastAsia="zh-CN"/>
              </w:rPr>
              <w:t>中</w:t>
            </w:r>
            <w:r>
              <w:rPr>
                <w:rFonts w:hint="default" w:ascii="Times New Roman" w:hAnsi="Times New Roman" w:cs="Times New Roman"/>
                <w:color w:val="auto"/>
                <w:kern w:val="0"/>
                <w:sz w:val="21"/>
                <w:szCs w:val="21"/>
              </w:rPr>
              <w:t>数量</w:t>
            </w:r>
          </w:p>
        </w:tc>
        <w:tc>
          <w:tcPr>
            <w:tcW w:w="1786" w:type="dxa"/>
            <w:tcBorders>
              <w:tl2br w:val="nil"/>
              <w:tr2bl w:val="nil"/>
            </w:tcBorders>
            <w:vAlign w:val="center"/>
          </w:tcPr>
          <w:p>
            <w:pPr>
              <w:widowControl/>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实际</w:t>
            </w:r>
            <w:r>
              <w:rPr>
                <w:rFonts w:hint="default" w:ascii="Times New Roman" w:hAnsi="Times New Roman" w:cs="Times New Roman"/>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数控机床</w:t>
            </w:r>
          </w:p>
        </w:tc>
        <w:tc>
          <w:tcPr>
            <w:tcW w:w="1814"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sz w:val="21"/>
                <w:szCs w:val="21"/>
                <w:lang w:val="en-US" w:eastAsia="zh-CN"/>
              </w:rPr>
              <w:t>CKA6136</w:t>
            </w:r>
          </w:p>
        </w:tc>
        <w:tc>
          <w:tcPr>
            <w:tcW w:w="1790"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数控机床</w:t>
            </w:r>
          </w:p>
        </w:tc>
        <w:tc>
          <w:tcPr>
            <w:tcW w:w="1814"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sz w:val="21"/>
                <w:szCs w:val="21"/>
                <w:lang w:val="en-US" w:eastAsia="zh-CN"/>
              </w:rPr>
              <w:t>CD6140A</w:t>
            </w:r>
          </w:p>
        </w:tc>
        <w:tc>
          <w:tcPr>
            <w:tcW w:w="1790"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3</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高精密平磨机</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MM7132</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4</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万能外圆磨机</w:t>
            </w:r>
          </w:p>
        </w:tc>
        <w:tc>
          <w:tcPr>
            <w:tcW w:w="1814"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sz w:val="21"/>
                <w:szCs w:val="21"/>
                <w:lang w:val="en-US" w:eastAsia="zh-CN"/>
              </w:rPr>
              <w:t>MA1420A</w:t>
            </w:r>
          </w:p>
        </w:tc>
        <w:tc>
          <w:tcPr>
            <w:tcW w:w="1790" w:type="dxa"/>
            <w:tcBorders>
              <w:tl2br w:val="nil"/>
              <w:tr2bl w:val="nil"/>
            </w:tcBorders>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sz w:val="21"/>
                <w:szCs w:val="21"/>
                <w:lang w:val="en-US" w:eastAsia="zh-CN"/>
              </w:rPr>
              <w:t>3</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w:t>
            </w:r>
          </w:p>
        </w:tc>
        <w:tc>
          <w:tcPr>
            <w:tcW w:w="2393"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kern w:val="2"/>
                <w:sz w:val="21"/>
                <w:szCs w:val="21"/>
                <w:lang w:val="en-US" w:eastAsia="zh-CN"/>
              </w:rPr>
              <w:t>内圆磨机</w:t>
            </w:r>
          </w:p>
        </w:tc>
        <w:tc>
          <w:tcPr>
            <w:tcW w:w="1814" w:type="dxa"/>
            <w:tcBorders>
              <w:tl2br w:val="nil"/>
              <w:tr2bl w:val="nil"/>
            </w:tcBorders>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sz w:val="21"/>
                <w:szCs w:val="21"/>
                <w:lang w:val="en-US" w:eastAsia="zh-CN"/>
              </w:rPr>
              <w:t>MZ110C</w:t>
            </w:r>
          </w:p>
        </w:tc>
        <w:tc>
          <w:tcPr>
            <w:tcW w:w="1790"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3</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6</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内圆磨床</w:t>
            </w:r>
          </w:p>
        </w:tc>
        <w:tc>
          <w:tcPr>
            <w:tcW w:w="1814"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sz w:val="21"/>
                <w:szCs w:val="21"/>
                <w:lang w:val="en-US" w:eastAsia="zh-CN"/>
              </w:rPr>
              <w:t>MZ208C</w:t>
            </w:r>
          </w:p>
        </w:tc>
        <w:tc>
          <w:tcPr>
            <w:tcW w:w="1790" w:type="dxa"/>
            <w:tcBorders>
              <w:tl2br w:val="nil"/>
              <w:tr2bl w:val="nil"/>
            </w:tcBorders>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sz w:val="21"/>
                <w:szCs w:val="21"/>
                <w:lang w:val="en-US" w:eastAsia="zh-CN"/>
              </w:rPr>
              <w:t>7</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7</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普通车床</w:t>
            </w:r>
          </w:p>
        </w:tc>
        <w:tc>
          <w:tcPr>
            <w:tcW w:w="1814"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sz w:val="21"/>
                <w:szCs w:val="21"/>
                <w:lang w:val="en-US" w:eastAsia="zh-CN"/>
              </w:rPr>
              <w:t>CD6140A</w:t>
            </w:r>
          </w:p>
        </w:tc>
        <w:tc>
          <w:tcPr>
            <w:tcW w:w="1790" w:type="dxa"/>
            <w:tcBorders>
              <w:tl2br w:val="nil"/>
              <w:tr2bl w:val="nil"/>
            </w:tcBorders>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sz w:val="21"/>
                <w:szCs w:val="21"/>
                <w:lang w:val="en-US" w:eastAsia="zh-CN"/>
              </w:rPr>
              <w:t>3</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8</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平面磨床</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M7130H</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1</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9</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牛头刨床</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B650</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10</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铣  床</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Z501</w:t>
            </w:r>
          </w:p>
        </w:tc>
        <w:tc>
          <w:tcPr>
            <w:tcW w:w="1790" w:type="dxa"/>
            <w:tcBorders>
              <w:tl2br w:val="nil"/>
              <w:tr2bl w:val="nil"/>
            </w:tcBorders>
            <w:vAlign w:val="center"/>
          </w:tcPr>
          <w:p>
            <w:pPr>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11</w:t>
            </w:r>
          </w:p>
        </w:tc>
        <w:tc>
          <w:tcPr>
            <w:tcW w:w="2393"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kern w:val="2"/>
                <w:sz w:val="21"/>
                <w:szCs w:val="21"/>
                <w:lang w:val="en-US" w:eastAsia="zh-CN"/>
              </w:rPr>
              <w:t>立式铣床</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Za5032</w:t>
            </w:r>
          </w:p>
        </w:tc>
        <w:tc>
          <w:tcPr>
            <w:tcW w:w="1790"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3</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12</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卧式铣床</w:t>
            </w:r>
          </w:p>
        </w:tc>
        <w:tc>
          <w:tcPr>
            <w:tcW w:w="1814"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Za6225</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13</w:t>
            </w:r>
          </w:p>
        </w:tc>
        <w:tc>
          <w:tcPr>
            <w:tcW w:w="2393" w:type="dxa"/>
            <w:tcBorders>
              <w:tl2br w:val="nil"/>
              <w:tr2bl w:val="nil"/>
            </w:tcBorders>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eastAsia="宋体" w:cs="Times New Roman"/>
                <w:kern w:val="2"/>
                <w:sz w:val="21"/>
                <w:szCs w:val="21"/>
                <w:lang w:val="en-US" w:eastAsia="zh-CN"/>
              </w:rPr>
              <w:t>圆柱立钻</w:t>
            </w:r>
          </w:p>
        </w:tc>
        <w:tc>
          <w:tcPr>
            <w:tcW w:w="1814"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Z5040</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bl>
    <w:p>
      <w:pPr>
        <w:bidi w:val="0"/>
        <w:spacing w:line="360" w:lineRule="auto"/>
        <w:rPr>
          <w:rFonts w:hint="eastAsia"/>
          <w:b/>
          <w:bCs/>
          <w:sz w:val="24"/>
          <w:szCs w:val="24"/>
          <w:lang w:val="en-US" w:eastAsia="zh-CN"/>
        </w:rPr>
      </w:pPr>
      <w:bookmarkStart w:id="9" w:name="_Toc515273907"/>
      <w:r>
        <w:rPr>
          <w:rFonts w:hint="eastAsia"/>
          <w:b/>
          <w:bCs/>
          <w:sz w:val="24"/>
          <w:szCs w:val="24"/>
          <w:lang w:val="en-US" w:eastAsia="zh-CN"/>
        </w:rPr>
        <w:t xml:space="preserve"> 续上表：</w:t>
      </w:r>
    </w:p>
    <w:tbl>
      <w:tblPr>
        <w:tblStyle w:val="16"/>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21"/>
        <w:gridCol w:w="2393"/>
        <w:gridCol w:w="1814"/>
        <w:gridCol w:w="1790"/>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17" w:hRule="atLeast"/>
          <w:tblHeader/>
          <w:jc w:val="center"/>
        </w:trPr>
        <w:tc>
          <w:tcPr>
            <w:tcW w:w="721" w:type="dxa"/>
            <w:tcBorders>
              <w:tl2br w:val="nil"/>
              <w:tr2bl w:val="nil"/>
            </w:tcBorders>
            <w:vAlign w:val="center"/>
          </w:tcPr>
          <w:p>
            <w:pPr>
              <w:widowControl/>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序</w:t>
            </w:r>
            <w:r>
              <w:rPr>
                <w:rFonts w:hint="default" w:ascii="Times New Roman" w:hAnsi="Times New Roman" w:cs="Times New Roman"/>
                <w:color w:val="auto"/>
                <w:kern w:val="0"/>
                <w:sz w:val="21"/>
                <w:szCs w:val="21"/>
              </w:rPr>
              <w:t>号</w:t>
            </w:r>
          </w:p>
        </w:tc>
        <w:tc>
          <w:tcPr>
            <w:tcW w:w="2393" w:type="dxa"/>
            <w:tcBorders>
              <w:tl2br w:val="nil"/>
              <w:tr2bl w:val="nil"/>
            </w:tcBorders>
            <w:vAlign w:val="center"/>
          </w:tcPr>
          <w:p>
            <w:pPr>
              <w:widowControl/>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设备名称</w:t>
            </w:r>
          </w:p>
        </w:tc>
        <w:tc>
          <w:tcPr>
            <w:tcW w:w="1814" w:type="dxa"/>
            <w:tcBorders>
              <w:tl2br w:val="nil"/>
              <w:tr2bl w:val="nil"/>
            </w:tcBorders>
            <w:vAlign w:val="center"/>
          </w:tcPr>
          <w:p>
            <w:pPr>
              <w:widowControl/>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型号</w:t>
            </w:r>
          </w:p>
        </w:tc>
        <w:tc>
          <w:tcPr>
            <w:tcW w:w="1790" w:type="dxa"/>
            <w:tcBorders>
              <w:tl2br w:val="nil"/>
              <w:tr2bl w:val="nil"/>
            </w:tcBorders>
            <w:vAlign w:val="center"/>
          </w:tcPr>
          <w:p>
            <w:pPr>
              <w:widowControl/>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环评</w:t>
            </w:r>
            <w:r>
              <w:rPr>
                <w:rFonts w:hint="default" w:ascii="Times New Roman" w:hAnsi="Times New Roman" w:cs="Times New Roman"/>
                <w:color w:val="auto"/>
                <w:kern w:val="0"/>
                <w:sz w:val="21"/>
                <w:szCs w:val="21"/>
                <w:lang w:val="en-US" w:eastAsia="zh-CN"/>
              </w:rPr>
              <w:t>中</w:t>
            </w:r>
            <w:r>
              <w:rPr>
                <w:rFonts w:hint="default" w:ascii="Times New Roman" w:hAnsi="Times New Roman" w:cs="Times New Roman"/>
                <w:color w:val="auto"/>
                <w:kern w:val="0"/>
                <w:sz w:val="21"/>
                <w:szCs w:val="21"/>
              </w:rPr>
              <w:t>数量</w:t>
            </w:r>
          </w:p>
        </w:tc>
        <w:tc>
          <w:tcPr>
            <w:tcW w:w="1786" w:type="dxa"/>
            <w:tcBorders>
              <w:tl2br w:val="nil"/>
              <w:tr2bl w:val="nil"/>
            </w:tcBorders>
            <w:vAlign w:val="center"/>
          </w:tcPr>
          <w:p>
            <w:pPr>
              <w:widowControl/>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实际</w:t>
            </w:r>
            <w:r>
              <w:rPr>
                <w:rFonts w:hint="default" w:ascii="Times New Roman" w:hAnsi="Times New Roman" w:cs="Times New Roman"/>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14</w:t>
            </w:r>
          </w:p>
        </w:tc>
        <w:tc>
          <w:tcPr>
            <w:tcW w:w="2393" w:type="dxa"/>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kern w:val="2"/>
                <w:sz w:val="21"/>
                <w:szCs w:val="21"/>
                <w:lang w:val="en-US" w:eastAsia="zh-CN"/>
              </w:rPr>
              <w:t>退磁机</w:t>
            </w:r>
          </w:p>
        </w:tc>
        <w:tc>
          <w:tcPr>
            <w:tcW w:w="1814"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Ns-4005</w:t>
            </w:r>
          </w:p>
        </w:tc>
        <w:tc>
          <w:tcPr>
            <w:tcW w:w="1790"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3</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15</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立式数控双石磨床</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D12m610a</w:t>
            </w:r>
          </w:p>
        </w:tc>
        <w:tc>
          <w:tcPr>
            <w:tcW w:w="1790" w:type="dxa"/>
            <w:tcBorders>
              <w:tl2br w:val="nil"/>
              <w:tr2bl w:val="nil"/>
            </w:tcBorders>
            <w:vAlign w:val="center"/>
          </w:tcPr>
          <w:p>
            <w:pPr>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宋体" w:cs="Times New Roman"/>
                <w:sz w:val="21"/>
                <w:szCs w:val="21"/>
                <w:lang w:val="en-US" w:eastAsia="zh-CN"/>
              </w:rPr>
              <w:t>4</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16</w:t>
            </w:r>
          </w:p>
        </w:tc>
        <w:tc>
          <w:tcPr>
            <w:tcW w:w="2393" w:type="dxa"/>
            <w:tcBorders>
              <w:tl2br w:val="nil"/>
              <w:tr2bl w:val="nil"/>
            </w:tcBorders>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kern w:val="2"/>
                <w:sz w:val="21"/>
                <w:szCs w:val="21"/>
                <w:lang w:val="en-US" w:eastAsia="zh-CN"/>
              </w:rPr>
              <w:t>滚针分组机</w:t>
            </w:r>
          </w:p>
        </w:tc>
        <w:tc>
          <w:tcPr>
            <w:tcW w:w="1814"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Gst-8a</w:t>
            </w:r>
          </w:p>
        </w:tc>
        <w:tc>
          <w:tcPr>
            <w:tcW w:w="1790" w:type="dxa"/>
            <w:tcBorders>
              <w:tl2br w:val="nil"/>
              <w:tr2bl w:val="nil"/>
            </w:tcBorders>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2</w:t>
            </w:r>
          </w:p>
        </w:tc>
        <w:tc>
          <w:tcPr>
            <w:tcW w:w="1786"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17</w:t>
            </w:r>
          </w:p>
        </w:tc>
        <w:tc>
          <w:tcPr>
            <w:tcW w:w="2393" w:type="dxa"/>
            <w:vAlign w:val="center"/>
          </w:tcPr>
          <w:p>
            <w:pPr>
              <w:jc w:val="center"/>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kern w:val="2"/>
                <w:sz w:val="21"/>
                <w:szCs w:val="21"/>
                <w:lang w:val="en-US" w:eastAsia="zh-CN"/>
              </w:rPr>
              <w:t>立轴圆台平磨机</w:t>
            </w:r>
          </w:p>
        </w:tc>
        <w:tc>
          <w:tcPr>
            <w:tcW w:w="1814"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sz w:val="21"/>
                <w:szCs w:val="21"/>
                <w:lang w:val="en-US" w:eastAsia="zh-CN"/>
              </w:rPr>
              <w:t>In7475b</w:t>
            </w:r>
          </w:p>
        </w:tc>
        <w:tc>
          <w:tcPr>
            <w:tcW w:w="1790" w:type="dxa"/>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2</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18</w:t>
            </w:r>
          </w:p>
        </w:tc>
        <w:tc>
          <w:tcPr>
            <w:tcW w:w="2393" w:type="dxa"/>
            <w:vAlign w:val="center"/>
          </w:tcPr>
          <w:p>
            <w:pPr>
              <w:jc w:val="center"/>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kern w:val="2"/>
                <w:sz w:val="21"/>
                <w:szCs w:val="21"/>
                <w:lang w:val="en-US" w:eastAsia="zh-CN"/>
              </w:rPr>
              <w:t>无心磨床</w:t>
            </w:r>
          </w:p>
        </w:tc>
        <w:tc>
          <w:tcPr>
            <w:tcW w:w="1814" w:type="dxa"/>
            <w:vAlign w:val="center"/>
          </w:tcPr>
          <w:p>
            <w:pPr>
              <w:jc w:val="center"/>
              <w:rPr>
                <w:rFonts w:hint="default" w:ascii="Times New Roman" w:hAnsi="Times New Roman" w:cs="Times New Roman"/>
                <w:color w:val="auto"/>
                <w:sz w:val="21"/>
                <w:szCs w:val="21"/>
                <w:lang w:val="en-US"/>
              </w:rPr>
            </w:pPr>
            <w:r>
              <w:rPr>
                <w:rFonts w:hint="eastAsia" w:ascii="Times New Roman" w:hAnsi="Times New Roman" w:eastAsia="宋体" w:cs="Times New Roman"/>
                <w:sz w:val="21"/>
                <w:szCs w:val="21"/>
                <w:lang w:val="en-US" w:eastAsia="zh-CN"/>
              </w:rPr>
              <w:t>Mm1083-mt1020a</w:t>
            </w:r>
          </w:p>
        </w:tc>
        <w:tc>
          <w:tcPr>
            <w:tcW w:w="1790" w:type="dxa"/>
            <w:vAlign w:val="center"/>
          </w:tcPr>
          <w:p>
            <w:pPr>
              <w:jc w:val="center"/>
              <w:rPr>
                <w:rFonts w:hint="default" w:ascii="Times New Roman" w:hAnsi="Times New Roman" w:cs="Times New Roman"/>
                <w:color w:val="auto"/>
                <w:sz w:val="21"/>
                <w:szCs w:val="21"/>
              </w:rPr>
            </w:pPr>
            <w:r>
              <w:rPr>
                <w:rFonts w:hint="eastAsia" w:ascii="Times New Roman" w:hAnsi="Times New Roman" w:eastAsia="宋体" w:cs="Times New Roman"/>
                <w:sz w:val="21"/>
                <w:szCs w:val="21"/>
                <w:lang w:val="en-US" w:eastAsia="zh-CN"/>
              </w:rPr>
              <w:t>10</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19</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全自动内圆磨机</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Mz2015c</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17</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20</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激光打标机</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M-yag-50</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1</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21</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自动起精机</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3mz-3212</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4</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tcBorders>
              <w:tl2br w:val="nil"/>
              <w:tr2bl w:val="nil"/>
            </w:tcBorders>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22</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自动内卷滚磨</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3mz2020</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2</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23</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轴承挡边磨床</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3mk2210</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1</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24</w:t>
            </w:r>
          </w:p>
        </w:tc>
        <w:tc>
          <w:tcPr>
            <w:tcW w:w="2393" w:type="dxa"/>
            <w:vAlign w:val="center"/>
          </w:tcPr>
          <w:p>
            <w:pPr>
              <w:jc w:val="center"/>
              <w:rPr>
                <w:rFonts w:hint="eastAsia"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托滚网带式烘炉</w:t>
            </w:r>
          </w:p>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（电加热）</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Rcwg9-401470</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1</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25</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网带式率火炉（电加热）</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Rcg9-30*250*5</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2</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26</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网带式回火炉</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Rcwg9-401470</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2</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1" w:hRule="atLeast"/>
          <w:tblHeader/>
          <w:jc w:val="center"/>
        </w:trPr>
        <w:tc>
          <w:tcPr>
            <w:tcW w:w="721" w:type="dxa"/>
            <w:vAlign w:val="top"/>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27</w:t>
            </w:r>
          </w:p>
        </w:tc>
        <w:tc>
          <w:tcPr>
            <w:tcW w:w="2393"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kern w:val="2"/>
                <w:sz w:val="21"/>
                <w:szCs w:val="21"/>
                <w:lang w:val="en-US" w:eastAsia="zh-CN"/>
              </w:rPr>
              <w:t>断料机</w:t>
            </w:r>
          </w:p>
        </w:tc>
        <w:tc>
          <w:tcPr>
            <w:tcW w:w="1814"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z w:val="21"/>
                <w:szCs w:val="21"/>
                <w:lang w:val="en-US" w:eastAsia="zh-CN"/>
              </w:rPr>
              <w:t>Ycz-1</w:t>
            </w:r>
          </w:p>
        </w:tc>
        <w:tc>
          <w:tcPr>
            <w:tcW w:w="1790" w:type="dxa"/>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sz w:val="21"/>
                <w:szCs w:val="21"/>
                <w:lang w:val="en-US" w:eastAsia="zh-CN"/>
              </w:rPr>
              <w:t>2</w:t>
            </w:r>
          </w:p>
        </w:tc>
        <w:tc>
          <w:tcPr>
            <w:tcW w:w="1786"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bl>
    <w:p>
      <w:pPr>
        <w:bidi w:val="0"/>
        <w:spacing w:line="360" w:lineRule="auto"/>
        <w:rPr>
          <w:rFonts w:hint="default"/>
          <w:b/>
          <w:bCs/>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bookmarkStart w:id="10" w:name="_Toc28619"/>
      <w:r>
        <w:rPr>
          <w:rFonts w:hint="default" w:ascii="Times New Roman" w:hAnsi="Times New Roman" w:eastAsia="宋体" w:cs="Times New Roman"/>
          <w:sz w:val="24"/>
          <w:szCs w:val="24"/>
        </w:rPr>
        <w:t>3.3主要原辅材料及燃料</w:t>
      </w:r>
      <w:bookmarkEnd w:id="9"/>
      <w:bookmarkEnd w:id="1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本项目主要物料及能源消耗见表3-</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eastAsiaTheme="minorEastAsia"/>
          <w:b/>
          <w:bCs/>
          <w:color w:val="auto"/>
          <w:lang w:eastAsia="zh-CN"/>
        </w:rPr>
      </w:pPr>
      <w:r>
        <w:rPr>
          <w:rFonts w:hint="default" w:ascii="Times New Roman" w:hAnsi="Times New Roman" w:cs="Times New Roman"/>
          <w:b/>
          <w:bCs/>
          <w:color w:val="auto"/>
        </w:rPr>
        <w:t>表3-</w:t>
      </w:r>
      <w:r>
        <w:rPr>
          <w:rFonts w:hint="eastAsia" w:ascii="Times New Roman" w:hAnsi="Times New Roman" w:cs="Times New Roman"/>
          <w:b/>
          <w:bCs/>
          <w:color w:val="auto"/>
          <w:lang w:val="en-US" w:eastAsia="zh-CN"/>
        </w:rPr>
        <w:t>2</w:t>
      </w:r>
      <w:r>
        <w:rPr>
          <w:rFonts w:hint="default" w:ascii="Times New Roman" w:hAnsi="Times New Roman" w:cs="Times New Roman"/>
          <w:b/>
          <w:bCs/>
          <w:color w:val="auto"/>
        </w:rPr>
        <w:t xml:space="preserve">  主要原辅材料及能源消耗一览表</w:t>
      </w:r>
    </w:p>
    <w:tbl>
      <w:tblPr>
        <w:tblStyle w:val="16"/>
        <w:tblW w:w="85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1"/>
        <w:gridCol w:w="2819"/>
        <w:gridCol w:w="2266"/>
        <w:gridCol w:w="2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bookmarkStart w:id="11" w:name="_Toc515273908"/>
            <w:r>
              <w:rPr>
                <w:rFonts w:hint="default" w:ascii="Times New Roman" w:hAnsi="Times New Roman" w:cs="Times New Roman"/>
                <w:sz w:val="21"/>
                <w:szCs w:val="21"/>
              </w:rPr>
              <w:t>序号</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22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环评设计年消耗量</w:t>
            </w:r>
          </w:p>
        </w:tc>
        <w:tc>
          <w:tcPr>
            <w:tcW w:w="2668" w:type="dxa"/>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折算</w:t>
            </w:r>
            <w:r>
              <w:rPr>
                <w:rFonts w:hint="default" w:ascii="Times New Roman" w:hAnsi="Times New Roman" w:cs="Times New Roman"/>
                <w:sz w:val="21"/>
                <w:szCs w:val="21"/>
              </w:rPr>
              <w:t>验收工况下实际</w:t>
            </w:r>
            <w:r>
              <w:rPr>
                <w:rFonts w:hint="default" w:ascii="Times New Roman" w:hAnsi="Times New Roman" w:cs="Times New Roman"/>
                <w:sz w:val="21"/>
                <w:szCs w:val="21"/>
                <w:lang w:val="en-US" w:eastAsia="zh-CN"/>
              </w:rPr>
              <w:t>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kern w:val="2"/>
                <w:sz w:val="21"/>
                <w:szCs w:val="21"/>
                <w:lang w:val="en-US" w:eastAsia="zh-CN"/>
              </w:rPr>
              <w:t>钢</w:t>
            </w:r>
            <w:r>
              <w:rPr>
                <w:rFonts w:hint="eastAsia" w:ascii="Times New Roman" w:hAnsi="Times New Roman" w:cs="Times New Roman"/>
                <w:kern w:val="2"/>
                <w:sz w:val="21"/>
                <w:szCs w:val="21"/>
                <w:lang w:val="en-US" w:eastAsia="zh-CN"/>
              </w:rPr>
              <w:t>板</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110t/a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89t/a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kern w:val="2"/>
                <w:sz w:val="21"/>
                <w:szCs w:val="21"/>
                <w:lang w:val="en-US" w:eastAsia="zh-CN"/>
              </w:rPr>
              <w:t>套圈</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240万套/a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194万套/a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钢球</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15万粒/a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12万粒/a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滚子</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5000只/a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4050只/a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cs="Times New Roman"/>
                <w:sz w:val="21"/>
                <w:szCs w:val="21"/>
                <w:lang w:val="en-US" w:eastAsia="zh-CN"/>
              </w:rPr>
              <w:t>机油</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1000kg/a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810kg/a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cs="Times New Roman"/>
                <w:sz w:val="21"/>
                <w:szCs w:val="21"/>
                <w:lang w:val="en-US" w:eastAsia="zh-CN"/>
              </w:rPr>
              <w:t>冷却液</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150kg/a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122kg/a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7</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cs="Times New Roman"/>
                <w:sz w:val="21"/>
                <w:szCs w:val="21"/>
                <w:lang w:val="en-US" w:eastAsia="zh-CN"/>
              </w:rPr>
              <w:t>密封圈</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240万套/a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194万套/a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cs="Times New Roman"/>
                <w:sz w:val="21"/>
                <w:szCs w:val="21"/>
                <w:lang w:val="en-US" w:eastAsia="zh-CN"/>
              </w:rPr>
              <w:t>挡圈</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240万套/a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194万套/a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9</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1"/>
                <w:szCs w:val="21"/>
                <w:lang w:val="en-US" w:eastAsia="zh-CN"/>
              </w:rPr>
            </w:pPr>
            <w:r>
              <w:rPr>
                <w:rFonts w:hint="eastAsia" w:ascii="Times New Roman" w:hAnsi="Times New Roman" w:cs="Times New Roman"/>
                <w:sz w:val="21"/>
                <w:szCs w:val="21"/>
                <w:lang w:val="en-US" w:eastAsia="zh-CN"/>
              </w:rPr>
              <w:t>防尘盖</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240万套/a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194万套/a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1"/>
                <w:szCs w:val="21"/>
                <w:lang w:val="en-US" w:eastAsia="zh-CN"/>
              </w:rPr>
            </w:pPr>
            <w:r>
              <w:rPr>
                <w:rFonts w:hint="eastAsia" w:ascii="Times New Roman" w:hAnsi="Times New Roman" w:cs="Times New Roman"/>
                <w:sz w:val="21"/>
                <w:szCs w:val="21"/>
                <w:lang w:val="en-US" w:eastAsia="zh-CN"/>
              </w:rPr>
              <w:t>铆钉</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240万套/a</w:t>
            </w:r>
          </w:p>
        </w:tc>
        <w:tc>
          <w:tcPr>
            <w:tcW w:w="266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194万套/a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11</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防锈油</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120kg/a</w:t>
            </w:r>
          </w:p>
        </w:tc>
        <w:tc>
          <w:tcPr>
            <w:tcW w:w="2668" w:type="dxa"/>
            <w:tcBorders>
              <w:top w:val="single" w:color="auto" w:sz="4" w:space="0"/>
              <w:left w:val="single" w:color="auto" w:sz="4" w:space="0"/>
              <w:bottom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97kg/a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1"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12</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淬火油</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200kg/a</w:t>
            </w:r>
          </w:p>
        </w:tc>
        <w:tc>
          <w:tcPr>
            <w:tcW w:w="2668" w:type="dxa"/>
            <w:tcBorders>
              <w:top w:val="single" w:color="auto" w:sz="4" w:space="0"/>
              <w:left w:val="single" w:color="auto" w:sz="4" w:space="0"/>
              <w:bottom w:val="single" w:color="auto" w:sz="4"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162kg/a</w:t>
            </w:r>
          </w:p>
        </w:tc>
      </w:tr>
    </w:tbl>
    <w:p>
      <w:pPr>
        <w:spacing w:line="360" w:lineRule="auto"/>
        <w:rPr>
          <w:rFonts w:hint="default" w:ascii="Times New Roman" w:hAnsi="Times New Roman" w:cs="Times New Roman"/>
          <w:b/>
          <w:bCs/>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color w:val="auto"/>
          <w:sz w:val="24"/>
          <w:szCs w:val="24"/>
        </w:rPr>
      </w:pPr>
      <w:bookmarkStart w:id="12" w:name="_Toc10251"/>
      <w:r>
        <w:rPr>
          <w:rFonts w:hint="default" w:ascii="Times New Roman" w:hAnsi="Times New Roman" w:eastAsia="宋体" w:cs="Times New Roman"/>
          <w:color w:val="auto"/>
          <w:sz w:val="24"/>
          <w:szCs w:val="24"/>
        </w:rPr>
        <w:t>3.4水源及水平衡</w:t>
      </w:r>
      <w:bookmarkEnd w:id="11"/>
      <w:bookmarkEnd w:id="12"/>
    </w:p>
    <w:p>
      <w:pPr>
        <w:spacing w:line="360" w:lineRule="auto"/>
        <w:ind w:firstLine="480" w:firstLineChars="200"/>
        <w:rPr>
          <w:rFonts w:hint="default" w:ascii="Times New Roman" w:hAnsi="Times New Roman" w:cs="Times New Roman"/>
          <w:sz w:val="24"/>
          <w:szCs w:val="24"/>
        </w:rPr>
      </w:pPr>
      <w:bookmarkStart w:id="13" w:name="_Toc515273909"/>
      <w:r>
        <w:rPr>
          <w:rFonts w:hint="eastAsia" w:ascii="Times New Roman" w:hAnsi="Times New Roman" w:cs="Times New Roman"/>
          <w:sz w:val="24"/>
          <w:szCs w:val="24"/>
          <w:lang w:val="en-US" w:eastAsia="zh-CN"/>
        </w:rPr>
        <w:t>本项目</w:t>
      </w:r>
      <w:r>
        <w:rPr>
          <w:rFonts w:hint="default" w:ascii="Times New Roman" w:hAnsi="Times New Roman" w:cs="Times New Roman"/>
          <w:sz w:val="24"/>
          <w:szCs w:val="24"/>
        </w:rPr>
        <w:t>用水由市政自来水厂提供。</w:t>
      </w:r>
    </w:p>
    <w:p>
      <w:pPr>
        <w:spacing w:line="360" w:lineRule="auto"/>
        <w:ind w:firstLine="480" w:firstLineChars="200"/>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rPr>
        <w:t>根据</w:t>
      </w:r>
      <w:r>
        <w:rPr>
          <w:rFonts w:hint="eastAsia" w:ascii="Times New Roman" w:hAnsi="Times New Roman" w:cs="Times New Roman"/>
          <w:color w:val="auto"/>
          <w:sz w:val="24"/>
          <w:szCs w:val="24"/>
          <w:lang w:val="en-US" w:eastAsia="zh-CN"/>
        </w:rPr>
        <w:t>嘉善县幽澜自来水公司开具的</w:t>
      </w:r>
      <w:r>
        <w:rPr>
          <w:rFonts w:hint="default" w:ascii="Times New Roman" w:hAnsi="Times New Roman" w:cs="Times New Roman"/>
          <w:color w:val="auto"/>
          <w:sz w:val="24"/>
          <w:szCs w:val="24"/>
          <w:lang w:val="en-US" w:eastAsia="zh-CN"/>
        </w:rPr>
        <w:t>20</w:t>
      </w:r>
      <w:r>
        <w:rPr>
          <w:rFonts w:hint="eastAsia" w:ascii="Times New Roman" w:hAnsi="Times New Roman" w:cs="Times New Roman"/>
          <w:color w:val="auto"/>
          <w:sz w:val="24"/>
          <w:szCs w:val="24"/>
          <w:lang w:val="en-US" w:eastAsia="zh-CN"/>
        </w:rPr>
        <w:t>18</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lang w:val="en-US" w:eastAsia="zh-CN"/>
        </w:rPr>
        <w:t>月至201</w:t>
      </w:r>
      <w:r>
        <w:rPr>
          <w:rFonts w:hint="eastAsia"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val="en-US" w:eastAsia="zh-CN"/>
        </w:rPr>
        <w:t>月的</w:t>
      </w:r>
      <w:r>
        <w:rPr>
          <w:rFonts w:hint="eastAsia" w:ascii="Times New Roman" w:hAnsi="Times New Roman" w:cs="Times New Roman"/>
          <w:color w:val="auto"/>
          <w:sz w:val="24"/>
          <w:szCs w:val="24"/>
          <w:lang w:val="en-US" w:eastAsia="zh-CN"/>
        </w:rPr>
        <w:t>用水量发票</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共计用水2110</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折合全年用水量</w:t>
      </w:r>
      <w:r>
        <w:rPr>
          <w:rFonts w:hint="eastAsia" w:ascii="Times New Roman" w:hAnsi="Times New Roman" w:cs="Times New Roman"/>
          <w:color w:val="auto"/>
          <w:sz w:val="24"/>
          <w:szCs w:val="24"/>
          <w:lang w:val="en-US" w:eastAsia="zh-CN"/>
        </w:rPr>
        <w:t>约为5064</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vertAlign w:val="baseline"/>
          <w:lang w:val="en-US" w:eastAsia="zh-CN"/>
        </w:rPr>
        <w:t>。</w:t>
      </w:r>
      <w:r>
        <w:rPr>
          <w:rFonts w:hint="eastAsia" w:ascii="Times New Roman" w:hAnsi="Times New Roman" w:cs="Times New Roman"/>
          <w:color w:val="auto"/>
          <w:sz w:val="24"/>
          <w:szCs w:val="24"/>
          <w:vertAlign w:val="baseline"/>
          <w:lang w:val="en-US" w:eastAsia="zh-CN"/>
        </w:rPr>
        <w:t>其中租户嘉兴建泉日用品有限公司的用水约为1344</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color w:val="auto"/>
          <w:sz w:val="24"/>
          <w:szCs w:val="24"/>
          <w:lang w:val="en-US" w:eastAsia="zh-CN"/>
        </w:rPr>
        <w:t>/a</w:t>
      </w:r>
      <w:r>
        <w:rPr>
          <w:rFonts w:hint="eastAsia" w:ascii="Times New Roman" w:hAnsi="Times New Roman" w:cs="Times New Roman"/>
          <w:color w:val="auto"/>
          <w:sz w:val="24"/>
          <w:szCs w:val="24"/>
          <w:lang w:val="en-US" w:eastAsia="zh-CN"/>
        </w:rPr>
        <w:t>，</w:t>
      </w:r>
      <w:r>
        <w:rPr>
          <w:rFonts w:hint="eastAsia" w:ascii="Times New Roman" w:hAnsi="Times New Roman" w:cs="Times New Roman"/>
          <w:sz w:val="24"/>
          <w:szCs w:val="24"/>
          <w:lang w:val="en-US" w:eastAsia="zh-CN"/>
        </w:rPr>
        <w:t>浙江德沃轴承有限公司</w:t>
      </w:r>
      <w:r>
        <w:rPr>
          <w:rFonts w:hint="eastAsia" w:ascii="Times New Roman" w:hAnsi="Times New Roman" w:cs="Times New Roman"/>
          <w:color w:val="auto"/>
          <w:sz w:val="24"/>
          <w:szCs w:val="24"/>
          <w:lang w:val="en-US" w:eastAsia="zh-CN"/>
        </w:rPr>
        <w:t>用水量约为3720</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color w:val="auto"/>
          <w:sz w:val="24"/>
          <w:szCs w:val="24"/>
          <w:lang w:val="en-US" w:eastAsia="zh-CN"/>
        </w:rPr>
        <w:t>/a</w:t>
      </w:r>
      <w:r>
        <w:rPr>
          <w:rFonts w:hint="eastAsia"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vertAlign w:val="baseline"/>
          <w:lang w:val="en-US" w:eastAsia="zh-CN"/>
        </w:rPr>
        <w:t>本项目用水分为清洗用水及生活用水，清洗用水量为2.5</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color w:val="auto"/>
          <w:sz w:val="24"/>
          <w:szCs w:val="24"/>
          <w:lang w:val="en-US" w:eastAsia="zh-CN"/>
        </w:rPr>
        <w:t>/a</w:t>
      </w:r>
      <w:r>
        <w:rPr>
          <w:rFonts w:hint="eastAsia" w:ascii="Times New Roman" w:hAnsi="Times New Roman" w:cs="Times New Roman"/>
          <w:color w:val="auto"/>
          <w:sz w:val="24"/>
          <w:szCs w:val="24"/>
          <w:lang w:val="en-US" w:eastAsia="zh-CN"/>
        </w:rPr>
        <w:t>，清洗废水经过滤沉淀后循环使用，不外排；生活用水量为3717.5</w:t>
      </w:r>
      <w:r>
        <w:rPr>
          <w:rFonts w:hint="default" w:ascii="Times New Roman" w:hAnsi="Times New Roman" w:cs="Times New Roman"/>
          <w:color w:val="auto"/>
          <w:sz w:val="24"/>
          <w:szCs w:val="24"/>
          <w:lang w:val="en-US" w:eastAsia="zh-CN"/>
        </w:rPr>
        <w:t>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color w:val="auto"/>
          <w:sz w:val="24"/>
          <w:szCs w:val="24"/>
          <w:lang w:val="en-US" w:eastAsia="zh-CN"/>
        </w:rPr>
        <w:t>/a</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生活污水的排放量（按用水量的</w:t>
      </w:r>
      <w:r>
        <w:rPr>
          <w:rFonts w:hint="eastAsia" w:ascii="Times New Roman" w:hAnsi="Times New Roman" w:cs="Times New Roman"/>
          <w:color w:val="auto"/>
          <w:sz w:val="24"/>
          <w:szCs w:val="24"/>
          <w:lang w:val="en-US" w:eastAsia="zh-CN"/>
        </w:rPr>
        <w:t>80</w:t>
      </w:r>
      <w:r>
        <w:rPr>
          <w:rFonts w:hint="default" w:ascii="Times New Roman" w:hAnsi="Times New Roman" w:cs="Times New Roman"/>
          <w:color w:val="auto"/>
          <w:sz w:val="24"/>
          <w:szCs w:val="24"/>
        </w:rPr>
        <w:t>%计）为</w:t>
      </w:r>
      <w:r>
        <w:rPr>
          <w:rFonts w:hint="eastAsia" w:ascii="Times New Roman" w:hAnsi="Times New Roman" w:cs="Times New Roman"/>
          <w:color w:val="auto"/>
          <w:sz w:val="24"/>
          <w:szCs w:val="24"/>
          <w:lang w:val="en-US" w:eastAsia="zh-CN"/>
        </w:rPr>
        <w:t>2974</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故本项目</w:t>
      </w:r>
      <w:r>
        <w:rPr>
          <w:rFonts w:hint="default" w:ascii="Times New Roman" w:hAnsi="Times New Roman" w:cs="Times New Roman"/>
          <w:color w:val="auto"/>
          <w:sz w:val="24"/>
          <w:szCs w:val="24"/>
        </w:rPr>
        <w:t>废水排放总量约为</w:t>
      </w:r>
      <w:r>
        <w:rPr>
          <w:rFonts w:hint="eastAsia" w:ascii="Times New Roman" w:hAnsi="Times New Roman" w:cs="Times New Roman"/>
          <w:color w:val="auto"/>
          <w:sz w:val="24"/>
          <w:szCs w:val="24"/>
          <w:lang w:val="en-US" w:eastAsia="zh-CN"/>
        </w:rPr>
        <w:t>2974</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水平衡见图3-1。</w:t>
      </w:r>
    </w:p>
    <w:p>
      <w:pPr>
        <w:spacing w:line="360" w:lineRule="auto"/>
        <w:jc w:val="center"/>
        <w:rPr>
          <w:rFonts w:hint="eastAsia" w:ascii="Times New Roman" w:hAnsi="Times New Roman" w:cs="Times New Roman"/>
          <w:color w:val="auto"/>
          <w:sz w:val="24"/>
          <w:szCs w:val="24"/>
          <w:lang w:val="en-US" w:eastAsia="zh-CN"/>
        </w:rPr>
      </w:pPr>
      <w:r>
        <w:rPr>
          <w:rFonts w:hint="default" w:ascii="Times New Roman" w:hAnsi="Times New Roman" w:cs="Times New Roman"/>
          <w:b w:val="0"/>
          <w:bCs w:val="0"/>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29845</wp:posOffset>
                </wp:positionV>
                <wp:extent cx="5390515" cy="1971040"/>
                <wp:effectExtent l="4445" t="4445" r="15240" b="5715"/>
                <wp:wrapNone/>
                <wp:docPr id="3" name="矩形 3"/>
                <wp:cNvGraphicFramePr/>
                <a:graphic xmlns:a="http://schemas.openxmlformats.org/drawingml/2006/main">
                  <a:graphicData uri="http://schemas.microsoft.com/office/word/2010/wordprocessingShape">
                    <wps:wsp>
                      <wps:cNvSpPr/>
                      <wps:spPr>
                        <a:xfrm>
                          <a:off x="0" y="0"/>
                          <a:ext cx="5390515" cy="1971040"/>
                        </a:xfrm>
                        <a:prstGeom prst="rect">
                          <a:avLst/>
                        </a:prstGeom>
                        <a:no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5.25pt;margin-top:2.35pt;height:155.2pt;width:424.45pt;z-index:251669504;mso-width-relative:page;mso-height-relative:page;" filled="f" stroked="t" coordsize="21600,21600" o:gfxdata="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10BlNcAAAAJAQAADwAA&#10;AAAAAAABACAAAAAiAAAAZHJzL2Rvd25yZXYueG1sUEsBAhQAFAAAAAgAh07iQAKQ94zeAQAApwMA&#10;AA4AAAAAAAAAAQAgAAAAJgEAAGRycy9lMm9Eb2MueG1sUEsFBgAAAAAGAAYAWQEAAHYFAAAAAA==&#10;">
                <v:fill on="f" focussize="0,0"/>
                <v:stroke color="#000000" joinstyle="miter" dashstyle="dash"/>
                <v:imagedata o:title=""/>
                <o:lock v:ext="edit" aspectratio="f"/>
              </v:rect>
            </w:pict>
          </mc:Fallback>
        </mc:AlternateContent>
      </w:r>
      <w:r>
        <w:rPr>
          <w:rFonts w:hint="eastAsia" w:ascii="Times New Roman" w:hAnsi="Times New Roman" w:cs="Times New Roman"/>
          <w:color w:val="auto"/>
          <w:sz w:val="24"/>
          <w:szCs w:val="24"/>
          <w:lang w:val="en-US" w:eastAsia="zh-CN"/>
        </w:rPr>
        <w:object>
          <v:shape id="_x0000_i1025" o:spt="75" type="#_x0000_t75" style="height:146.95pt;width:377.85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p>
    <w:p>
      <w:pPr>
        <w:spacing w:line="360" w:lineRule="auto"/>
        <w:jc w:val="center"/>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图3-1  水平衡图（单位：</w:t>
      </w:r>
      <w:r>
        <w:rPr>
          <w:rFonts w:hint="default" w:ascii="Times New Roman" w:hAnsi="Times New Roman" w:cs="Times New Roman"/>
          <w:b/>
          <w:bCs/>
          <w:color w:val="auto"/>
          <w:sz w:val="21"/>
          <w:szCs w:val="21"/>
        </w:rPr>
        <w:t>m</w:t>
      </w:r>
      <w:r>
        <w:rPr>
          <w:rFonts w:hint="default" w:ascii="Times New Roman" w:hAnsi="Times New Roman" w:cs="Times New Roman"/>
          <w:b/>
          <w:bCs/>
          <w:color w:val="auto"/>
          <w:sz w:val="21"/>
          <w:szCs w:val="21"/>
          <w:vertAlign w:val="superscript"/>
        </w:rPr>
        <w:t>3</w:t>
      </w:r>
      <w:r>
        <w:rPr>
          <w:rFonts w:hint="default" w:ascii="Times New Roman" w:hAnsi="Times New Roman" w:cs="Times New Roman"/>
          <w:b/>
          <w:bCs/>
          <w:color w:val="auto"/>
          <w:sz w:val="21"/>
          <w:szCs w:val="21"/>
        </w:rPr>
        <w:t>/a</w:t>
      </w:r>
      <w:r>
        <w:rPr>
          <w:rFonts w:hint="eastAsia" w:ascii="Times New Roman" w:hAnsi="Times New Roman" w:cs="Times New Roman"/>
          <w:b/>
          <w:bCs/>
          <w:color w:val="auto"/>
          <w:sz w:val="21"/>
          <w:szCs w:val="21"/>
          <w:lang w:val="en-US" w:eastAsia="zh-CN"/>
        </w:rPr>
        <w:t>）</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14" w:name="_Toc9991"/>
      <w:r>
        <w:rPr>
          <w:rFonts w:hint="default" w:ascii="Times New Roman" w:hAnsi="Times New Roman" w:eastAsia="宋体" w:cs="Times New Roman"/>
          <w:sz w:val="24"/>
          <w:szCs w:val="24"/>
        </w:rPr>
        <w:t>3.5生产工艺</w:t>
      </w:r>
      <w:bookmarkEnd w:id="13"/>
      <w:bookmarkEnd w:id="14"/>
    </w:p>
    <w:p>
      <w:pPr>
        <w:spacing w:line="360" w:lineRule="auto"/>
        <w:ind w:firstLine="480" w:firstLineChars="2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290195</wp:posOffset>
                </wp:positionV>
                <wp:extent cx="5438140" cy="3340735"/>
                <wp:effectExtent l="4445" t="4445" r="5715" b="7620"/>
                <wp:wrapNone/>
                <wp:docPr id="2" name="矩形 2"/>
                <wp:cNvGraphicFramePr/>
                <a:graphic xmlns:a="http://schemas.openxmlformats.org/drawingml/2006/main">
                  <a:graphicData uri="http://schemas.microsoft.com/office/word/2010/wordprocessingShape">
                    <wps:wsp>
                      <wps:cNvSpPr/>
                      <wps:spPr>
                        <a:xfrm>
                          <a:off x="0" y="0"/>
                          <a:ext cx="5438140" cy="3340735"/>
                        </a:xfrm>
                        <a:prstGeom prst="rect">
                          <a:avLst/>
                        </a:prstGeom>
                        <a:no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3.75pt;margin-top:22.85pt;height:263.05pt;width:428.2pt;z-index:251661312;mso-width-relative:page;mso-height-relative:page;" filled="f" stroked="t" coordsize="21600,21600" o:gfxdata="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wtqRtcAAAAJAQAADwAA&#10;AAAAAAABACAAAAAiAAAAZHJzL2Rvd25yZXYueG1sUEsBAhQAFAAAAAgAh07iQFzUPwfeAQAApwMA&#10;AA4AAAAAAAAAAQAgAAAAJgEAAGRycy9lMm9Eb2MueG1sUEsFBgAAAAAGAAYAWQEAAHYFAAAAAA==&#10;">
                <v:fill on="f" focussize="0,0"/>
                <v:stroke color="#000000" joinstyle="miter" dashstyle="dash"/>
                <v:imagedata o:title=""/>
                <o:lock v:ext="edit" aspectratio="f"/>
              </v:rect>
            </w:pict>
          </mc:Fallback>
        </mc:AlternateContent>
      </w:r>
      <w:r>
        <w:rPr>
          <w:rFonts w:hint="eastAsia" w:ascii="Times New Roman" w:hAnsi="Times New Roman" w:cs="Times New Roman"/>
          <w:b w:val="0"/>
          <w:bCs w:val="0"/>
          <w:sz w:val="24"/>
          <w:szCs w:val="24"/>
          <w:lang w:val="en-US" w:eastAsia="zh-CN"/>
        </w:rPr>
        <w:t>主要生产</w:t>
      </w:r>
      <w:r>
        <w:rPr>
          <w:rFonts w:hint="default" w:ascii="Times New Roman" w:hAnsi="Times New Roman" w:cs="Times New Roman"/>
          <w:b w:val="0"/>
          <w:bCs w:val="0"/>
          <w:sz w:val="24"/>
          <w:szCs w:val="24"/>
          <w:lang w:val="en-US" w:eastAsia="zh-CN"/>
        </w:rPr>
        <w:t>工艺及产污环节</w:t>
      </w:r>
      <w:r>
        <w:rPr>
          <w:rFonts w:hint="default" w:ascii="Times New Roman" w:hAnsi="Times New Roman" w:cs="Times New Roman"/>
          <w:b w:val="0"/>
          <w:bCs w:val="0"/>
          <w:sz w:val="24"/>
          <w:szCs w:val="24"/>
        </w:rPr>
        <w:t>见图3-</w:t>
      </w:r>
      <w:r>
        <w:rPr>
          <w:rFonts w:hint="eastAsia" w:ascii="Times New Roman" w:hAnsi="Times New Roman" w:cs="Times New Roman"/>
          <w:b w:val="0"/>
          <w:bCs w:val="0"/>
          <w:sz w:val="24"/>
          <w:szCs w:val="24"/>
          <w:lang w:val="en-US" w:eastAsia="zh-CN"/>
        </w:rPr>
        <w:t>2</w:t>
      </w:r>
      <w:r>
        <w:rPr>
          <w:rFonts w:hint="default" w:ascii="Times New Roman" w:hAnsi="Times New Roman" w:cs="Times New Roman"/>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object>
          <v:shape id="_x0000_i1026" o:spt="75" type="#_x0000_t75" style="height:257.3pt;width:387pt;" o:ole="t" filled="f" o:preferrelative="t" stroked="f" coordsize="21600,21600">
            <v:path/>
            <v:fill on="f" focussize="0,0"/>
            <v:stroke on="f"/>
            <v:imagedata r:id="rId15" o:title=""/>
            <o:lock v:ext="edit" aspectratio="f"/>
            <w10:wrap type="none"/>
            <w10:anchorlock/>
          </v:shape>
          <o:OLEObject Type="Embed" ProgID="Visio.Drawing.11" ShapeID="_x0000_i1026" DrawAspect="Content" ObjectID="_1468075726" r:id="rId14">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w:t>
      </w:r>
      <w:r>
        <w:rPr>
          <w:rFonts w:hint="eastAsia" w:ascii="Times New Roman" w:hAnsi="Times New Roman" w:cs="Times New Roman"/>
          <w:b/>
          <w:bCs/>
          <w:sz w:val="21"/>
          <w:szCs w:val="21"/>
          <w:lang w:val="en-US" w:eastAsia="zh-CN"/>
        </w:rPr>
        <w:t>2</w:t>
      </w:r>
      <w:r>
        <w:rPr>
          <w:rFonts w:hint="default" w:ascii="Times New Roman" w:hAnsi="Times New Roman" w:cs="Times New Roman"/>
          <w:b/>
          <w:bCs/>
          <w:sz w:val="21"/>
          <w:szCs w:val="21"/>
          <w:lang w:val="en-US" w:eastAsia="zh-CN"/>
        </w:rPr>
        <w:t xml:space="preserve"> </w:t>
      </w:r>
      <w:r>
        <w:rPr>
          <w:rFonts w:hint="eastAsia" w:ascii="Times New Roman" w:hAnsi="Times New Roman" w:cs="Times New Roman"/>
          <w:b/>
          <w:bCs/>
          <w:sz w:val="21"/>
          <w:szCs w:val="21"/>
          <w:lang w:val="en-US" w:eastAsia="zh-CN"/>
        </w:rPr>
        <w:t>主要生产</w:t>
      </w:r>
      <w:r>
        <w:rPr>
          <w:rFonts w:hint="default" w:ascii="Times New Roman" w:hAnsi="Times New Roman" w:cs="Times New Roman"/>
          <w:b/>
          <w:bCs/>
          <w:sz w:val="21"/>
          <w:szCs w:val="21"/>
          <w:lang w:val="en-US" w:eastAsia="zh-CN"/>
        </w:rPr>
        <w:t>工艺及产污环节图</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outlineLvl w:val="9"/>
        <w:rPr>
          <w:rFonts w:hint="default"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套圈</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套圈经激光打标机打上相应的编号后进行热处理工序，热处理工序主要为淬火和回火，淬火是将金属工件加热到某一适当温度并保持一段时间，随即浸入淬冷介质中快速冷却的金属热处理工艺。企业将工件送入网带炉内进行淬火处理，温度约820℃，时间约40min，目的是提高工件的硬度、强度、耐磨性等性能。淬火冷却，冷却方式为淬火油冷却，油温控制在50℃。油冷后的工件送入回火炉内进行回火，回火温度为200℃以上，时间30min。经热处理后工件通过磨床进行一系列的平面、外径、内径、滚道和挡边等处理，然后对其进行超精加工（细微处理），后经分类后用于装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实体保持架</w:t>
      </w: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棒料、锻坯或铸坯经数控车床处理后成保持架形状，后经表面热处理后提高工件的硬度、强度、耐磨性等性能，检查合格后用于装配。实体保持架与套圈进行的热处理工序，所使用的是同一种设备。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实体保持架、套圈、钢球、滚子、密封圈、挡圈、防尘盖、铆钉等经装配后进行成品检查，产品合格后经清洗后涂上防锈油即为成品。</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outlineLvl w:val="9"/>
        <w:rPr>
          <w:rFonts w:hint="default" w:ascii="Times New Roman" w:hAnsi="Times New Roman" w:cs="Times New Roman"/>
          <w:b/>
          <w:bCs/>
          <w:sz w:val="24"/>
          <w:szCs w:val="24"/>
          <w:lang w:val="en-US" w:eastAsia="zh-CN"/>
        </w:rPr>
      </w:pPr>
      <w:r>
        <w:rPr>
          <w:rFonts w:hint="eastAsia" w:ascii="Times New Roman" w:hAnsi="Times New Roman" w:cs="Times New Roman"/>
          <w:sz w:val="24"/>
          <w:szCs w:val="24"/>
          <w:lang w:val="en-US" w:eastAsia="zh-CN"/>
        </w:rPr>
        <w:t>备注：各设备机加工过程中需用少量冷却液（由乳化液与水按一定比例配比）起到冷却润滑作用，在使用过程中经设备自带过来装置过滤后循环使用，定期添加，定期更换。</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rPr>
      </w:pPr>
      <w:bookmarkStart w:id="15" w:name="_Toc515273910"/>
      <w:bookmarkStart w:id="16" w:name="_Toc909"/>
      <w:r>
        <w:rPr>
          <w:rFonts w:hint="default" w:ascii="Times New Roman" w:hAnsi="Times New Roman" w:eastAsia="宋体" w:cs="Times New Roman"/>
          <w:color w:val="auto"/>
          <w:sz w:val="24"/>
          <w:szCs w:val="24"/>
        </w:rPr>
        <w:t>3.6项目变动情况</w:t>
      </w:r>
      <w:bookmarkEnd w:id="15"/>
      <w:bookmarkEnd w:id="16"/>
    </w:p>
    <w:p>
      <w:pPr>
        <w:bidi w:val="0"/>
        <w:spacing w:line="360" w:lineRule="auto"/>
        <w:ind w:firstLine="480" w:firstLineChars="200"/>
        <w:rPr>
          <w:rFonts w:hint="eastAsia"/>
          <w:sz w:val="24"/>
          <w:szCs w:val="24"/>
          <w:lang w:val="en-US" w:eastAsia="zh-CN"/>
        </w:rPr>
      </w:pPr>
      <w:r>
        <w:rPr>
          <w:rFonts w:hint="eastAsia" w:ascii="Times New Roman" w:hAnsi="Times New Roman" w:cs="Times New Roman"/>
          <w:sz w:val="24"/>
          <w:szCs w:val="24"/>
          <w:lang w:val="en-US" w:eastAsia="zh-CN"/>
        </w:rPr>
        <w:t>浙江德沃轴承有限公司</w:t>
      </w:r>
      <w:r>
        <w:rPr>
          <w:rFonts w:hint="eastAsia"/>
          <w:sz w:val="24"/>
          <w:szCs w:val="24"/>
          <w:lang w:val="en-US" w:eastAsia="zh-CN"/>
        </w:rPr>
        <w:t>零部件“实体保持架”需进行表面处理（热处理）后增加工件的硬度、强度等性能，该工序目前由企业自行处理，不委外加工。由于企业具有热处理生产设备，且对产生的有机废气进行了收集处理，经检测后达标排放，有机废气排放总量在指标范围内。</w:t>
      </w:r>
    </w:p>
    <w:p>
      <w:pPr>
        <w:bidi w:val="0"/>
        <w:spacing w:line="360" w:lineRule="auto"/>
        <w:ind w:firstLine="480" w:firstLineChars="200"/>
        <w:rPr>
          <w:rFonts w:hint="default"/>
          <w:sz w:val="24"/>
          <w:szCs w:val="24"/>
        </w:rPr>
      </w:pPr>
      <w:r>
        <w:rPr>
          <w:rFonts w:hint="eastAsia"/>
          <w:sz w:val="24"/>
          <w:szCs w:val="24"/>
          <w:lang w:val="en-US" w:eastAsia="zh-CN"/>
        </w:rPr>
        <w:t>故</w:t>
      </w:r>
      <w:r>
        <w:rPr>
          <w:rFonts w:hint="default"/>
          <w:sz w:val="24"/>
          <w:szCs w:val="24"/>
        </w:rPr>
        <w:t>本项目性质、规模、地点、生产工艺和环境保护措施五个方面无重大变动。</w:t>
      </w: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bidi w:val="0"/>
        <w:spacing w:line="360" w:lineRule="auto"/>
        <w:ind w:firstLine="480" w:firstLineChars="200"/>
        <w:rPr>
          <w:rFonts w:hint="default"/>
          <w:sz w:val="24"/>
          <w:szCs w:val="24"/>
        </w:rPr>
      </w:pPr>
    </w:p>
    <w:p>
      <w:pPr>
        <w:pStyle w:val="2"/>
        <w:numPr>
          <w:ilvl w:val="0"/>
          <w:numId w:val="1"/>
        </w:numPr>
        <w:spacing w:before="0" w:after="0" w:line="360" w:lineRule="auto"/>
        <w:ind w:left="0" w:leftChars="0" w:firstLine="0" w:firstLineChars="0"/>
        <w:rPr>
          <w:rFonts w:hint="default" w:ascii="Times New Roman" w:hAnsi="Times New Roman" w:cs="Times New Roman"/>
          <w:color w:val="auto"/>
          <w:sz w:val="24"/>
          <w:szCs w:val="24"/>
        </w:rPr>
      </w:pPr>
      <w:bookmarkStart w:id="17" w:name="_Toc12155"/>
      <w:bookmarkStart w:id="18" w:name="_Toc515273911"/>
      <w:r>
        <w:rPr>
          <w:rFonts w:hint="default" w:ascii="Times New Roman" w:hAnsi="Times New Roman" w:cs="Times New Roman"/>
          <w:color w:val="auto"/>
          <w:sz w:val="24"/>
          <w:szCs w:val="24"/>
        </w:rPr>
        <w:t>环境保护设施</w:t>
      </w:r>
      <w:bookmarkEnd w:id="17"/>
      <w:bookmarkEnd w:id="18"/>
    </w:p>
    <w:p>
      <w:pPr>
        <w:pStyle w:val="3"/>
        <w:spacing w:before="0" w:after="0" w:line="360" w:lineRule="auto"/>
        <w:rPr>
          <w:rFonts w:hint="default" w:ascii="Times New Roman" w:hAnsi="Times New Roman" w:eastAsia="宋体" w:cs="Times New Roman"/>
          <w:color w:val="auto"/>
          <w:sz w:val="24"/>
          <w:szCs w:val="24"/>
        </w:rPr>
      </w:pPr>
      <w:bookmarkStart w:id="19" w:name="_Toc15713"/>
      <w:bookmarkStart w:id="20" w:name="_Toc515273912"/>
      <w:r>
        <w:rPr>
          <w:rFonts w:hint="default" w:ascii="Times New Roman" w:hAnsi="Times New Roman" w:eastAsia="宋体" w:cs="Times New Roman"/>
          <w:color w:val="auto"/>
          <w:sz w:val="24"/>
          <w:szCs w:val="24"/>
        </w:rPr>
        <w:t>4.1污染物治理设施</w:t>
      </w:r>
      <w:bookmarkEnd w:id="19"/>
      <w:bookmarkEnd w:id="20"/>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4.1.1废水</w:t>
      </w:r>
    </w:p>
    <w:p>
      <w:pPr>
        <w:spacing w:line="360" w:lineRule="auto"/>
        <w:ind w:firstLine="480" w:firstLineChars="20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实行</w:t>
      </w:r>
      <w:r>
        <w:rPr>
          <w:rFonts w:hint="eastAsia" w:ascii="Times New Roman" w:hAnsi="Times New Roman" w:cs="Times New Roman"/>
          <w:color w:val="auto"/>
          <w:sz w:val="24"/>
          <w:szCs w:val="24"/>
          <w:lang w:val="en-US" w:eastAsia="zh-CN"/>
        </w:rPr>
        <w:t>清污分流、</w:t>
      </w:r>
      <w:r>
        <w:rPr>
          <w:rFonts w:hint="default" w:ascii="Times New Roman" w:hAnsi="Times New Roman" w:cs="Times New Roman"/>
          <w:color w:val="auto"/>
          <w:sz w:val="24"/>
          <w:szCs w:val="24"/>
        </w:rPr>
        <w:t>雨污分流；</w:t>
      </w:r>
      <w:r>
        <w:rPr>
          <w:rFonts w:hint="eastAsia" w:ascii="Times New Roman" w:hAnsi="Times New Roman" w:cs="Times New Roman"/>
          <w:color w:val="auto"/>
          <w:sz w:val="24"/>
          <w:szCs w:val="24"/>
          <w:lang w:val="en-US" w:eastAsia="zh-CN"/>
        </w:rPr>
        <w:t>生活污水经化粪池、隔油池处理达标后</w:t>
      </w:r>
      <w:r>
        <w:rPr>
          <w:rFonts w:hint="default" w:ascii="Times New Roman" w:hAnsi="Times New Roman" w:cs="Times New Roman"/>
          <w:color w:val="auto"/>
          <w:sz w:val="24"/>
          <w:szCs w:val="24"/>
          <w:lang w:val="en-US" w:eastAsia="zh-CN"/>
        </w:rPr>
        <w:t>纳入</w:t>
      </w:r>
      <w:r>
        <w:rPr>
          <w:rFonts w:hint="eastAsia" w:ascii="Times New Roman" w:hAnsi="Times New Roman" w:cs="Times New Roman"/>
          <w:color w:val="auto"/>
          <w:sz w:val="24"/>
          <w:szCs w:val="24"/>
          <w:lang w:val="en-US" w:eastAsia="zh-CN"/>
        </w:rPr>
        <w:t>嘉善县姚庄镇污水管网，经姚庄污水处理厂</w:t>
      </w:r>
      <w:r>
        <w:rPr>
          <w:rFonts w:hint="default" w:ascii="Times New Roman" w:hAnsi="Times New Roman" w:cs="Times New Roman"/>
          <w:color w:val="auto"/>
          <w:sz w:val="24"/>
          <w:szCs w:val="24"/>
        </w:rPr>
        <w:t>集中处理达标后排放</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清洗废水经过滤沉淀后循环使用，不外排。</w:t>
      </w:r>
    </w:p>
    <w:p>
      <w:pPr>
        <w:spacing w:line="360" w:lineRule="auto"/>
        <w:ind w:firstLine="480" w:firstLineChars="200"/>
        <w:rPr>
          <w:rFonts w:hint="default" w:ascii="Times New Roman" w:hAnsi="Times New Roman" w:cs="Times New Roman"/>
          <w:bCs/>
          <w:color w:val="0000FF"/>
          <w:sz w:val="24"/>
        </w:rPr>
      </w:pPr>
      <w:r>
        <w:rPr>
          <w:rFonts w:hint="default" w:ascii="Times New Roman" w:hAnsi="Times New Roman" w:cs="Times New Roman"/>
          <w:bCs/>
          <w:color w:val="auto"/>
          <w:sz w:val="24"/>
        </w:rPr>
        <w:t>废水治理情况汇总见表4-1。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表4-1  废水治理情况汇总表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25"/>
        <w:gridCol w:w="1425"/>
        <w:gridCol w:w="765"/>
        <w:gridCol w:w="989"/>
        <w:gridCol w:w="286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来源</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种类</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规律</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治理</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设施</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设计指标</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blHeader/>
          <w:jc w:val="center"/>
        </w:trPr>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职工</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COD</w:t>
            </w:r>
            <w:r>
              <w:rPr>
                <w:rFonts w:hint="default" w:ascii="Times New Roman" w:hAnsi="Times New Roman" w:cs="Times New Roman"/>
                <w:color w:val="auto"/>
                <w:sz w:val="21"/>
                <w:szCs w:val="21"/>
                <w:vertAlign w:val="subscript"/>
              </w:rPr>
              <w:t>Cr</w:t>
            </w:r>
            <w:r>
              <w:rPr>
                <w:rFonts w:hint="default" w:ascii="Times New Roman" w:hAnsi="Times New Roman" w:cs="Times New Roman"/>
                <w:color w:val="auto"/>
                <w:sz w:val="21"/>
                <w:szCs w:val="21"/>
              </w:rPr>
              <w:t>、SS、NH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TP、BOD</w:t>
            </w:r>
            <w:r>
              <w:rPr>
                <w:rFonts w:hint="default" w:ascii="Times New Roman" w:hAnsi="Times New Roman" w:cs="Times New Roman" w:eastAsiaTheme="minorEastAsia"/>
                <w:color w:val="auto"/>
                <w:sz w:val="21"/>
                <w:szCs w:val="21"/>
                <w:vertAlign w:val="subscript"/>
                <w:lang w:val="en-US" w:eastAsia="zh-CN"/>
              </w:rPr>
              <w:t>5</w:t>
            </w:r>
            <w:r>
              <w:rPr>
                <w:rFonts w:hint="default" w:ascii="Times New Roman" w:hAnsi="Times New Roman" w:cs="Times New Roman" w:eastAsiaTheme="minorEastAsia"/>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动植物油</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间歇</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化粪池</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隔油池</w:t>
            </w:r>
          </w:p>
        </w:tc>
        <w:tc>
          <w:tcPr>
            <w:tcW w:w="2865" w:type="dxa"/>
            <w:tcBorders>
              <w:left w:val="single" w:color="auto" w:sz="4" w:space="0"/>
              <w:right w:val="single" w:color="auto" w:sz="4" w:space="0"/>
            </w:tcBorders>
            <w:vAlign w:val="center"/>
          </w:tcPr>
          <w:p>
            <w:pPr>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入网标准达到《污水综合排放标准》（GB8978-1996）表4中的三级标准，其中NH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TP</w:t>
            </w:r>
            <w:r>
              <w:rPr>
                <w:rFonts w:hint="default" w:ascii="Times New Roman" w:hAnsi="Times New Roman" w:cs="Times New Roman"/>
                <w:color w:val="auto"/>
                <w:sz w:val="21"/>
                <w:szCs w:val="21"/>
              </w:rPr>
              <w:t>入网标准执行《工业企业废水氮、磷污染物间接排放限值》（DB33/887-2013）</w:t>
            </w:r>
          </w:p>
        </w:tc>
        <w:tc>
          <w:tcPr>
            <w:tcW w:w="749"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入网排</w:t>
            </w:r>
            <w:r>
              <w:rPr>
                <w:rFonts w:hint="eastAsia" w:ascii="Times New Roman" w:hAnsi="Times New Roman" w:cs="Times New Roman"/>
                <w:color w:val="auto"/>
                <w:sz w:val="21"/>
                <w:szCs w:val="21"/>
                <w:lang w:val="en-US" w:eastAsia="zh-CN"/>
              </w:rPr>
              <w:t>河</w:t>
            </w:r>
          </w:p>
        </w:tc>
      </w:tr>
    </w:tbl>
    <w:p>
      <w:pPr>
        <w:numPr>
          <w:ilvl w:val="0"/>
          <w:numId w:val="0"/>
        </w:numPr>
        <w:spacing w:line="360" w:lineRule="auto"/>
        <w:jc w:val="both"/>
        <w:rPr>
          <w:rFonts w:hint="default" w:ascii="Times New Roman" w:hAnsi="Times New Roman" w:cs="Times New Roman" w:eastAsiaTheme="minorEastAsia"/>
          <w:b w:val="0"/>
          <w:bCs w:val="0"/>
          <w:color w:val="0070C0"/>
          <w:sz w:val="24"/>
          <w:szCs w:val="24"/>
          <w:lang w:val="en-US" w:eastAsia="zh-CN"/>
        </w:rPr>
      </w:pPr>
      <w:r>
        <w:rPr>
          <w:rFonts w:hint="eastAsia" w:ascii="Times New Roman" w:hAnsi="Times New Roman" w:cs="Times New Roman"/>
          <w:b w:val="0"/>
          <w:bCs w:val="0"/>
          <w:color w:val="0070C0"/>
          <w:sz w:val="24"/>
          <w:szCs w:val="24"/>
          <w:lang w:val="en-US" w:eastAsia="zh-CN"/>
        </w:rPr>
        <w:t xml:space="preserve">    </w:t>
      </w:r>
      <w:r>
        <w:rPr>
          <w:rFonts w:hint="eastAsia" w:ascii="Times New Roman" w:hAnsi="Times New Roman" w:cs="Times New Roman"/>
          <w:b w:val="0"/>
          <w:bCs w:val="0"/>
          <w:color w:val="auto"/>
          <w:sz w:val="24"/>
          <w:szCs w:val="24"/>
          <w:lang w:val="en-US" w:eastAsia="zh-CN"/>
        </w:rPr>
        <w:t>清洗废水治理设施现场照片见图4-1。</w:t>
      </w:r>
    </w:p>
    <w:p>
      <w:pPr>
        <w:numPr>
          <w:ilvl w:val="0"/>
          <w:numId w:val="0"/>
        </w:numPr>
        <w:spacing w:line="360" w:lineRule="auto"/>
        <w:jc w:val="center"/>
        <w:rPr>
          <w:rFonts w:hint="default" w:ascii="Times New Roman" w:hAnsi="Times New Roman" w:cs="Times New Roman" w:eastAsiaTheme="minorEastAsia"/>
          <w:b w:val="0"/>
          <w:bCs w:val="0"/>
          <w:color w:val="0070C0"/>
          <w:sz w:val="24"/>
          <w:szCs w:val="24"/>
          <w:lang w:val="en-US" w:eastAsia="zh-CN"/>
        </w:rPr>
      </w:pPr>
      <w:r>
        <w:rPr>
          <w:rFonts w:hint="default" w:ascii="Times New Roman" w:hAnsi="Times New Roman" w:cs="Times New Roman" w:eastAsiaTheme="minorEastAsia"/>
          <w:b w:val="0"/>
          <w:bCs w:val="0"/>
          <w:color w:val="0070C0"/>
          <w:sz w:val="24"/>
          <w:szCs w:val="24"/>
          <w:lang w:val="en-US" w:eastAsia="zh-CN"/>
        </w:rPr>
        <w:drawing>
          <wp:inline distT="0" distB="0" distL="114300" distR="114300">
            <wp:extent cx="4319270" cy="3239770"/>
            <wp:effectExtent l="0" t="0" r="5080" b="17780"/>
            <wp:docPr id="8" name="图片 8" descr="微信图片_2019052716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527160745"/>
                    <pic:cNvPicPr>
                      <a:picLocks noChangeAspect="1"/>
                    </pic:cNvPicPr>
                  </pic:nvPicPr>
                  <pic:blipFill>
                    <a:blip r:embed="rId16"/>
                    <a:stretch>
                      <a:fillRect/>
                    </a:stretch>
                  </pic:blipFill>
                  <pic:spPr>
                    <a:xfrm>
                      <a:off x="0" y="0"/>
                      <a:ext cx="4319270" cy="323977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图4-1  清洗废水治理设施现场照片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color w:val="auto"/>
          <w:sz w:val="21"/>
          <w:szCs w:val="21"/>
          <w:lang w:val="en-US" w:eastAsia="zh-CN"/>
        </w:rPr>
      </w:pPr>
    </w:p>
    <w:p>
      <w:pPr>
        <w:numPr>
          <w:ilvl w:val="0"/>
          <w:numId w:val="0"/>
        </w:numPr>
        <w:spacing w:line="36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4.1.2废气</w:t>
      </w:r>
    </w:p>
    <w:p>
      <w:pPr>
        <w:numPr>
          <w:ilvl w:val="0"/>
          <w:numId w:val="0"/>
        </w:numPr>
        <w:spacing w:line="360" w:lineRule="auto"/>
        <w:ind w:firstLine="480" w:firstLineChars="200"/>
        <w:jc w:val="both"/>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本项目在淬火、回火工序中有有机废气产生，其主要污染物为非甲烷总烃，回火工序产生的有机废气经集气罩收集后，再由静电装置处理，尾气通过15m高排气筒排放。淬火工序产生的有机废气量较少。有机废气处理设施由嘉善尚佳环保科技有限公司设计并安装，设计风量：8000m</w:t>
      </w:r>
      <w:r>
        <w:rPr>
          <w:rFonts w:hint="eastAsia" w:ascii="Times New Roman" w:hAnsi="Times New Roman" w:cs="Times New Roman" w:eastAsiaTheme="minorEastAsia"/>
          <w:b w:val="0"/>
          <w:bCs w:val="0"/>
          <w:color w:val="auto"/>
          <w:sz w:val="24"/>
          <w:szCs w:val="24"/>
          <w:vertAlign w:val="superscript"/>
          <w:lang w:val="en-US" w:eastAsia="zh-CN"/>
        </w:rPr>
        <w:t>3</w:t>
      </w:r>
      <w:r>
        <w:rPr>
          <w:rFonts w:hint="eastAsia" w:ascii="Times New Roman" w:hAnsi="Times New Roman" w:cs="Times New Roman"/>
          <w:b w:val="0"/>
          <w:bCs w:val="0"/>
          <w:color w:val="auto"/>
          <w:sz w:val="24"/>
          <w:szCs w:val="24"/>
          <w:lang w:val="en-US" w:eastAsia="zh-CN"/>
        </w:rPr>
        <w:t>/h。</w:t>
      </w:r>
    </w:p>
    <w:p>
      <w:pPr>
        <w:numPr>
          <w:ilvl w:val="0"/>
          <w:numId w:val="0"/>
        </w:numPr>
        <w:spacing w:line="360" w:lineRule="auto"/>
        <w:ind w:firstLine="480" w:firstLineChars="200"/>
        <w:jc w:val="both"/>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有机废气治理设施现场照片见图4-2。</w:t>
      </w:r>
    </w:p>
    <w:p>
      <w:pPr>
        <w:numPr>
          <w:ilvl w:val="0"/>
          <w:numId w:val="0"/>
        </w:numPr>
        <w:spacing w:line="360" w:lineRule="auto"/>
        <w:jc w:val="both"/>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drawing>
          <wp:inline distT="0" distB="0" distL="114300" distR="114300">
            <wp:extent cx="2617470" cy="1963420"/>
            <wp:effectExtent l="0" t="0" r="11430" b="17780"/>
            <wp:docPr id="9" name="图片 9" descr="微信图片_2019052716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527160742"/>
                    <pic:cNvPicPr>
                      <a:picLocks noChangeAspect="1"/>
                    </pic:cNvPicPr>
                  </pic:nvPicPr>
                  <pic:blipFill>
                    <a:blip r:embed="rId17"/>
                    <a:stretch>
                      <a:fillRect/>
                    </a:stretch>
                  </pic:blipFill>
                  <pic:spPr>
                    <a:xfrm>
                      <a:off x="0" y="0"/>
                      <a:ext cx="2617470" cy="1963420"/>
                    </a:xfrm>
                    <a:prstGeom prst="rect">
                      <a:avLst/>
                    </a:prstGeom>
                  </pic:spPr>
                </pic:pic>
              </a:graphicData>
            </a:graphic>
          </wp:inline>
        </w:drawing>
      </w:r>
      <w:r>
        <w:rPr>
          <w:rFonts w:hint="default" w:ascii="Times New Roman" w:hAnsi="Times New Roman" w:cs="Times New Roman"/>
          <w:b w:val="0"/>
          <w:bCs w:val="0"/>
          <w:color w:val="auto"/>
          <w:sz w:val="24"/>
          <w:szCs w:val="24"/>
          <w:lang w:val="en-US" w:eastAsia="zh-CN"/>
        </w:rPr>
        <w:drawing>
          <wp:inline distT="0" distB="0" distL="114300" distR="114300">
            <wp:extent cx="2582545" cy="1948815"/>
            <wp:effectExtent l="0" t="0" r="8255" b="13335"/>
            <wp:docPr id="10" name="图片 10" descr="微信图片_2019052716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527160750"/>
                    <pic:cNvPicPr>
                      <a:picLocks noChangeAspect="1"/>
                    </pic:cNvPicPr>
                  </pic:nvPicPr>
                  <pic:blipFill>
                    <a:blip r:embed="rId18"/>
                    <a:srcRect r="9889"/>
                    <a:stretch>
                      <a:fillRect/>
                    </a:stretch>
                  </pic:blipFill>
                  <pic:spPr>
                    <a:xfrm>
                      <a:off x="0" y="0"/>
                      <a:ext cx="2582545" cy="1948815"/>
                    </a:xfrm>
                    <a:prstGeom prst="rect">
                      <a:avLst/>
                    </a:prstGeom>
                  </pic:spPr>
                </pic:pic>
              </a:graphicData>
            </a:graphic>
          </wp:inline>
        </w:drawing>
      </w:r>
    </w:p>
    <w:p>
      <w:pPr>
        <w:numPr>
          <w:ilvl w:val="0"/>
          <w:numId w:val="0"/>
        </w:numPr>
        <w:spacing w:line="360" w:lineRule="auto"/>
        <w:jc w:val="both"/>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drawing>
          <wp:inline distT="0" distB="0" distL="114300" distR="114300">
            <wp:extent cx="2610485" cy="1951355"/>
            <wp:effectExtent l="0" t="0" r="18415" b="10795"/>
            <wp:docPr id="12" name="图片 12" descr="微信图片_2019052716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90527160729"/>
                    <pic:cNvPicPr>
                      <a:picLocks noChangeAspect="1"/>
                    </pic:cNvPicPr>
                  </pic:nvPicPr>
                  <pic:blipFill>
                    <a:blip r:embed="rId19"/>
                    <a:srcRect t="16548" b="27398"/>
                    <a:stretch>
                      <a:fillRect/>
                    </a:stretch>
                  </pic:blipFill>
                  <pic:spPr>
                    <a:xfrm>
                      <a:off x="0" y="0"/>
                      <a:ext cx="2610485" cy="1951355"/>
                    </a:xfrm>
                    <a:prstGeom prst="rect">
                      <a:avLst/>
                    </a:prstGeom>
                  </pic:spPr>
                </pic:pic>
              </a:graphicData>
            </a:graphic>
          </wp:inline>
        </w:drawing>
      </w:r>
      <w:r>
        <w:rPr>
          <w:rFonts w:hint="default" w:ascii="Times New Roman" w:hAnsi="Times New Roman" w:cs="Times New Roman"/>
          <w:b w:val="0"/>
          <w:bCs w:val="0"/>
          <w:color w:val="auto"/>
          <w:sz w:val="24"/>
          <w:szCs w:val="24"/>
          <w:lang w:val="en-US" w:eastAsia="zh-CN"/>
        </w:rPr>
        <w:drawing>
          <wp:inline distT="0" distB="0" distL="114300" distR="114300">
            <wp:extent cx="2577465" cy="1956435"/>
            <wp:effectExtent l="0" t="0" r="13335" b="5715"/>
            <wp:docPr id="14" name="图片 14" descr="微信图片_2019052716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90527160754"/>
                    <pic:cNvPicPr>
                      <a:picLocks noChangeAspect="1"/>
                    </pic:cNvPicPr>
                  </pic:nvPicPr>
                  <pic:blipFill>
                    <a:blip r:embed="rId20"/>
                    <a:srcRect b="62276"/>
                    <a:stretch>
                      <a:fillRect/>
                    </a:stretch>
                  </pic:blipFill>
                  <pic:spPr>
                    <a:xfrm>
                      <a:off x="0" y="0"/>
                      <a:ext cx="2577465" cy="1956435"/>
                    </a:xfrm>
                    <a:prstGeom prst="rect">
                      <a:avLst/>
                    </a:prstGeom>
                  </pic:spPr>
                </pic:pic>
              </a:graphicData>
            </a:graphic>
          </wp:inline>
        </w:drawing>
      </w:r>
    </w:p>
    <w:p>
      <w:pPr>
        <w:numPr>
          <w:ilvl w:val="0"/>
          <w:numId w:val="0"/>
        </w:numPr>
        <w:spacing w:line="360" w:lineRule="auto"/>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图4-</w:t>
      </w:r>
      <w:r>
        <w:rPr>
          <w:rFonts w:hint="eastAsia" w:ascii="Times New Roman" w:hAnsi="Times New Roman" w:cs="Times New Roman"/>
          <w:b/>
          <w:bCs/>
          <w:color w:val="auto"/>
          <w:sz w:val="21"/>
          <w:szCs w:val="21"/>
          <w:lang w:val="en-US" w:eastAsia="zh-CN"/>
        </w:rPr>
        <w:t>2</w:t>
      </w:r>
      <w:r>
        <w:rPr>
          <w:rFonts w:hint="default" w:ascii="Times New Roman" w:hAnsi="Times New Roman" w:cs="Times New Roman"/>
          <w:b/>
          <w:bCs/>
          <w:color w:val="auto"/>
          <w:sz w:val="21"/>
          <w:szCs w:val="21"/>
          <w:lang w:val="en-US" w:eastAsia="zh-CN"/>
        </w:rPr>
        <w:t xml:space="preserve">  </w:t>
      </w:r>
      <w:r>
        <w:rPr>
          <w:rFonts w:hint="eastAsia" w:ascii="Times New Roman" w:hAnsi="Times New Roman" w:cs="Times New Roman"/>
          <w:b/>
          <w:bCs/>
          <w:color w:val="auto"/>
          <w:sz w:val="21"/>
          <w:szCs w:val="21"/>
          <w:lang w:val="en-US" w:eastAsia="zh-CN"/>
        </w:rPr>
        <w:t>有机废气</w:t>
      </w:r>
      <w:r>
        <w:rPr>
          <w:rFonts w:hint="default" w:ascii="Times New Roman" w:hAnsi="Times New Roman" w:cs="Times New Roman"/>
          <w:b/>
          <w:bCs/>
          <w:color w:val="auto"/>
          <w:sz w:val="21"/>
          <w:szCs w:val="21"/>
          <w:lang w:val="en-US" w:eastAsia="zh-CN"/>
        </w:rPr>
        <w:t>治理设施照片</w:t>
      </w:r>
    </w:p>
    <w:p>
      <w:pPr>
        <w:spacing w:line="360" w:lineRule="auto"/>
        <w:rPr>
          <w:rFonts w:hint="default" w:ascii="Times New Roman" w:hAnsi="Times New Roman" w:cs="Times New Roman"/>
          <w:b/>
          <w:bCs/>
          <w:color w:val="auto"/>
          <w:sz w:val="24"/>
          <w:szCs w:val="24"/>
        </w:rPr>
      </w:pP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4.1.3噪声</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本项目噪声主要来自于</w:t>
      </w:r>
      <w:r>
        <w:rPr>
          <w:rFonts w:hint="eastAsia" w:ascii="Times New Roman" w:hAnsi="Times New Roman" w:cs="Times New Roman"/>
          <w:color w:val="auto"/>
          <w:sz w:val="24"/>
          <w:szCs w:val="24"/>
          <w:lang w:val="en-US" w:eastAsia="zh-CN"/>
        </w:rPr>
        <w:t>生产设备正常运行时产生的噪声</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企业在设备选型上注重选择低噪声设备；利用墙体隔声；平时可做到设备的维护，杜绝因设备不正常运转时产生的高噪声现象。</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4.1.4固（液）体废物</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本项目固体废物分析结果汇总见表4-3。</w:t>
      </w: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表4-3  固体废物分析结果汇总表（单位：t/a）</w:t>
      </w:r>
    </w:p>
    <w:tbl>
      <w:tblPr>
        <w:tblStyle w:val="16"/>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33"/>
        <w:gridCol w:w="1132"/>
        <w:gridCol w:w="760"/>
        <w:gridCol w:w="1130"/>
        <w:gridCol w:w="1133"/>
        <w:gridCol w:w="917"/>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2"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333"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副产物名称</w:t>
            </w:r>
          </w:p>
        </w:tc>
        <w:tc>
          <w:tcPr>
            <w:tcW w:w="1132"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产生工序</w:t>
            </w:r>
          </w:p>
        </w:tc>
        <w:tc>
          <w:tcPr>
            <w:tcW w:w="760"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形态</w:t>
            </w:r>
          </w:p>
        </w:tc>
        <w:tc>
          <w:tcPr>
            <w:tcW w:w="1130"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主要成分</w:t>
            </w:r>
          </w:p>
        </w:tc>
        <w:tc>
          <w:tcPr>
            <w:tcW w:w="1133"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属性</w:t>
            </w:r>
          </w:p>
        </w:tc>
        <w:tc>
          <w:tcPr>
            <w:tcW w:w="917"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产生量</w:t>
            </w:r>
          </w:p>
        </w:tc>
        <w:tc>
          <w:tcPr>
            <w:tcW w:w="1700" w:type="dxa"/>
            <w:tcBorders>
              <w:top w:val="single" w:color="auto" w:sz="8"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处置方式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82" w:type="dxa"/>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33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边角料</w:t>
            </w:r>
          </w:p>
        </w:tc>
        <w:tc>
          <w:tcPr>
            <w:tcW w:w="1132"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机加工</w:t>
            </w:r>
          </w:p>
        </w:tc>
        <w:tc>
          <w:tcPr>
            <w:tcW w:w="760"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固态</w:t>
            </w:r>
          </w:p>
        </w:tc>
        <w:tc>
          <w:tcPr>
            <w:tcW w:w="1130" w:type="dxa"/>
            <w:vAlign w:val="center"/>
          </w:tcPr>
          <w:p>
            <w:pPr>
              <w:pStyle w:val="23"/>
              <w:kinsoku w:val="0"/>
              <w:overflowPunct w:val="0"/>
              <w:jc w:val="center"/>
              <w:rPr>
                <w:rFonts w:hint="default" w:ascii="Times New Roman" w:hAnsi="Times New Roman" w:cs="Times New Roman"/>
                <w:color w:val="auto"/>
                <w:kern w:val="2"/>
                <w:sz w:val="21"/>
                <w:szCs w:val="21"/>
                <w:lang w:val="en-US" w:eastAsia="zh-CN"/>
              </w:rPr>
            </w:pPr>
            <w:r>
              <w:rPr>
                <w:rFonts w:hint="eastAsia" w:cs="Times New Roman"/>
                <w:color w:val="auto"/>
                <w:kern w:val="2"/>
                <w:sz w:val="21"/>
                <w:szCs w:val="21"/>
                <w:lang w:val="en-US" w:eastAsia="zh-CN"/>
              </w:rPr>
              <w:t>废金属</w:t>
            </w:r>
          </w:p>
        </w:tc>
        <w:tc>
          <w:tcPr>
            <w:tcW w:w="1133"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一般固废</w:t>
            </w:r>
          </w:p>
        </w:tc>
        <w:tc>
          <w:tcPr>
            <w:tcW w:w="917"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w:t>
            </w:r>
          </w:p>
        </w:tc>
        <w:tc>
          <w:tcPr>
            <w:tcW w:w="1700"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经收集后外卖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2" w:type="dxa"/>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133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不合格品</w:t>
            </w:r>
          </w:p>
        </w:tc>
        <w:tc>
          <w:tcPr>
            <w:tcW w:w="1132"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机加工</w:t>
            </w:r>
          </w:p>
        </w:tc>
        <w:tc>
          <w:tcPr>
            <w:tcW w:w="760" w:type="dxa"/>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固态</w:t>
            </w:r>
          </w:p>
        </w:tc>
        <w:tc>
          <w:tcPr>
            <w:tcW w:w="1130" w:type="dxa"/>
            <w:vAlign w:val="center"/>
          </w:tcPr>
          <w:p>
            <w:pPr>
              <w:pStyle w:val="23"/>
              <w:kinsoku w:val="0"/>
              <w:overflowPunct w:val="0"/>
              <w:jc w:val="center"/>
              <w:rPr>
                <w:rFonts w:hint="default" w:ascii="Times New Roman" w:hAnsi="Times New Roman" w:cs="Times New Roman"/>
                <w:color w:val="auto"/>
                <w:kern w:val="2"/>
                <w:sz w:val="21"/>
                <w:szCs w:val="21"/>
                <w:lang w:val="en-US" w:eastAsia="zh-CN"/>
              </w:rPr>
            </w:pPr>
            <w:r>
              <w:rPr>
                <w:rFonts w:hint="eastAsia" w:cs="Times New Roman"/>
                <w:color w:val="auto"/>
                <w:kern w:val="2"/>
                <w:sz w:val="21"/>
                <w:szCs w:val="21"/>
                <w:lang w:val="en-US" w:eastAsia="zh-CN"/>
              </w:rPr>
              <w:t>废金属</w:t>
            </w:r>
          </w:p>
        </w:tc>
        <w:tc>
          <w:tcPr>
            <w:tcW w:w="113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一般固废</w:t>
            </w:r>
          </w:p>
        </w:tc>
        <w:tc>
          <w:tcPr>
            <w:tcW w:w="917" w:type="dxa"/>
            <w:vAlign w:val="center"/>
          </w:tcPr>
          <w:p>
            <w:pPr>
              <w:jc w:val="center"/>
              <w:rPr>
                <w:rFonts w:hint="default" w:ascii="Times New Roman" w:hAnsi="Times New Roman" w:cs="Times New Roman"/>
                <w:color w:val="auto"/>
                <w:sz w:val="21"/>
                <w:szCs w:val="21"/>
                <w:lang w:val="en-US" w:eastAsia="zh-CN"/>
              </w:rPr>
            </w:pPr>
            <w:bookmarkStart w:id="80" w:name="_GoBack"/>
            <w:bookmarkEnd w:id="80"/>
            <w:r>
              <w:rPr>
                <w:rFonts w:hint="eastAsia" w:ascii="Times New Roman" w:hAnsi="Times New Roman" w:cs="Times New Roman"/>
                <w:color w:val="auto"/>
                <w:sz w:val="21"/>
                <w:szCs w:val="21"/>
                <w:lang w:val="en-US" w:eastAsia="zh-CN"/>
              </w:rPr>
              <w:t>4</w:t>
            </w:r>
          </w:p>
        </w:tc>
        <w:tc>
          <w:tcPr>
            <w:tcW w:w="1700"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经收集后外卖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2"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133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清洗废液</w:t>
            </w:r>
          </w:p>
        </w:tc>
        <w:tc>
          <w:tcPr>
            <w:tcW w:w="1132"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清洗</w:t>
            </w:r>
          </w:p>
        </w:tc>
        <w:tc>
          <w:tcPr>
            <w:tcW w:w="760"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液态</w:t>
            </w:r>
          </w:p>
        </w:tc>
        <w:tc>
          <w:tcPr>
            <w:tcW w:w="1130" w:type="dxa"/>
            <w:vAlign w:val="center"/>
          </w:tcPr>
          <w:p>
            <w:pPr>
              <w:pStyle w:val="23"/>
              <w:kinsoku w:val="0"/>
              <w:overflowPunct w:val="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含清洗剂的有机</w:t>
            </w:r>
          </w:p>
          <w:p>
            <w:pPr>
              <w:pStyle w:val="23"/>
              <w:kinsoku w:val="0"/>
              <w:overflowPunct w:val="0"/>
              <w:jc w:val="center"/>
              <w:rPr>
                <w:rFonts w:hint="default" w:cs="Times New Roman"/>
                <w:color w:val="auto"/>
                <w:kern w:val="2"/>
                <w:sz w:val="21"/>
                <w:szCs w:val="21"/>
                <w:lang w:val="en-US" w:eastAsia="zh-CN"/>
              </w:rPr>
            </w:pPr>
            <w:r>
              <w:rPr>
                <w:rFonts w:hint="eastAsia" w:ascii="Times New Roman" w:hAnsi="Times New Roman" w:cs="Times New Roman"/>
                <w:color w:val="auto"/>
                <w:sz w:val="21"/>
                <w:szCs w:val="21"/>
                <w:lang w:val="en-US" w:eastAsia="zh-CN"/>
              </w:rPr>
              <w:t>溶剂</w:t>
            </w:r>
          </w:p>
        </w:tc>
        <w:tc>
          <w:tcPr>
            <w:tcW w:w="113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危险废物</w:t>
            </w:r>
          </w:p>
        </w:tc>
        <w:tc>
          <w:tcPr>
            <w:tcW w:w="917"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1700"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委托浙江兆山环保科技有公司进行安全处置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2"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1333" w:type="dxa"/>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生活垃圾</w:t>
            </w:r>
          </w:p>
        </w:tc>
        <w:tc>
          <w:tcPr>
            <w:tcW w:w="1132" w:type="dxa"/>
            <w:vAlign w:val="center"/>
          </w:tcPr>
          <w:p>
            <w:pPr>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eastAsia="zh-CN"/>
              </w:rPr>
              <w:t>职工生活</w:t>
            </w:r>
          </w:p>
        </w:tc>
        <w:tc>
          <w:tcPr>
            <w:tcW w:w="76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固态</w:t>
            </w:r>
          </w:p>
        </w:tc>
        <w:tc>
          <w:tcPr>
            <w:tcW w:w="1130" w:type="dxa"/>
            <w:vAlign w:val="center"/>
          </w:tcPr>
          <w:p>
            <w:pPr>
              <w:pStyle w:val="23"/>
              <w:kinsoku w:val="0"/>
              <w:overflowPunct w:val="0"/>
              <w:jc w:val="center"/>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color w:val="auto"/>
                <w:kern w:val="2"/>
                <w:sz w:val="21"/>
                <w:szCs w:val="21"/>
                <w:lang w:val="en-US" w:eastAsia="zh-CN"/>
              </w:rPr>
              <w:t>生活废品</w:t>
            </w:r>
          </w:p>
        </w:tc>
        <w:tc>
          <w:tcPr>
            <w:tcW w:w="11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一般固废</w:t>
            </w:r>
          </w:p>
        </w:tc>
        <w:tc>
          <w:tcPr>
            <w:tcW w:w="917"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30</w:t>
            </w:r>
          </w:p>
        </w:tc>
        <w:tc>
          <w:tcPr>
            <w:tcW w:w="1700" w:type="dxa"/>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由嘉善县智果村村委会统一清运处理</w:t>
            </w:r>
          </w:p>
        </w:tc>
      </w:tr>
    </w:tbl>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宋体" w:cs="Times New Roman"/>
          <w:b w:val="0"/>
          <w:bCs w:val="0"/>
          <w:color w:val="auto"/>
          <w:sz w:val="24"/>
          <w:szCs w:val="24"/>
          <w:lang w:val="en-US" w:eastAsia="zh-CN"/>
        </w:rPr>
      </w:pPr>
      <w:bookmarkStart w:id="21" w:name="_Toc7181"/>
      <w:r>
        <w:rPr>
          <w:rFonts w:hint="eastAsia" w:ascii="Times New Roman" w:hAnsi="Times New Roman" w:eastAsia="宋体" w:cs="Times New Roman"/>
          <w:b w:val="0"/>
          <w:bCs w:val="0"/>
          <w:color w:val="auto"/>
          <w:sz w:val="24"/>
          <w:szCs w:val="24"/>
          <w:lang w:val="en-US" w:eastAsia="zh-CN"/>
        </w:rPr>
        <w:t>危险废物暂存间现场照片见图4-3。</w:t>
      </w:r>
    </w:p>
    <w:p>
      <w:pPr>
        <w:jc w:val="center"/>
        <w:rPr>
          <w:rFonts w:hint="default"/>
          <w:lang w:val="en-US" w:eastAsia="zh-CN"/>
        </w:rPr>
      </w:pPr>
      <w:r>
        <w:rPr>
          <w:rFonts w:hint="default"/>
          <w:lang w:val="en-US" w:eastAsia="zh-CN"/>
        </w:rPr>
        <w:drawing>
          <wp:inline distT="0" distB="0" distL="114300" distR="114300">
            <wp:extent cx="3839210" cy="2879725"/>
            <wp:effectExtent l="0" t="0" r="8890" b="15875"/>
            <wp:docPr id="11" name="图片 11" descr="微信图片_20190919140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09191401412"/>
                    <pic:cNvPicPr>
                      <a:picLocks noChangeAspect="1"/>
                    </pic:cNvPicPr>
                  </pic:nvPicPr>
                  <pic:blipFill>
                    <a:blip r:embed="rId21"/>
                    <a:stretch>
                      <a:fillRect/>
                    </a:stretch>
                  </pic:blipFill>
                  <pic:spPr>
                    <a:xfrm>
                      <a:off x="0" y="0"/>
                      <a:ext cx="3839210" cy="2879725"/>
                    </a:xfrm>
                    <a:prstGeom prst="rect">
                      <a:avLst/>
                    </a:prstGeom>
                  </pic:spPr>
                </pic:pic>
              </a:graphicData>
            </a:graphic>
          </wp:inline>
        </w:drawing>
      </w:r>
    </w:p>
    <w:p>
      <w:pPr>
        <w:jc w:val="center"/>
        <w:rPr>
          <w:rFonts w:hint="default"/>
          <w:lang w:val="en-US" w:eastAsia="zh-CN"/>
        </w:rPr>
      </w:pPr>
      <w:r>
        <w:rPr>
          <w:rFonts w:hint="default"/>
          <w:lang w:val="en-US" w:eastAsia="zh-CN"/>
        </w:rPr>
        <w:drawing>
          <wp:inline distT="0" distB="0" distL="114300" distR="114300">
            <wp:extent cx="2109470" cy="2879725"/>
            <wp:effectExtent l="0" t="0" r="5080" b="15875"/>
            <wp:docPr id="7" name="图片 7" descr="微信图片_20190919140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9191401421"/>
                    <pic:cNvPicPr>
                      <a:picLocks noChangeAspect="1"/>
                    </pic:cNvPicPr>
                  </pic:nvPicPr>
                  <pic:blipFill>
                    <a:blip r:embed="rId22"/>
                    <a:stretch>
                      <a:fillRect/>
                    </a:stretch>
                  </pic:blipFill>
                  <pic:spPr>
                    <a:xfrm>
                      <a:off x="0" y="0"/>
                      <a:ext cx="2109470" cy="2879725"/>
                    </a:xfrm>
                    <a:prstGeom prst="rect">
                      <a:avLst/>
                    </a:prstGeom>
                  </pic:spPr>
                </pic:pic>
              </a:graphicData>
            </a:graphic>
          </wp:inline>
        </w:drawing>
      </w:r>
      <w:r>
        <w:rPr>
          <w:rFonts w:hint="default"/>
          <w:lang w:val="en-US" w:eastAsia="zh-CN"/>
        </w:rPr>
        <w:drawing>
          <wp:inline distT="0" distB="0" distL="114300" distR="114300">
            <wp:extent cx="1814195" cy="2879725"/>
            <wp:effectExtent l="0" t="0" r="14605" b="15875"/>
            <wp:docPr id="13" name="图片 13" descr="微信图片_2019091914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90919140142"/>
                    <pic:cNvPicPr>
                      <a:picLocks noChangeAspect="1"/>
                    </pic:cNvPicPr>
                  </pic:nvPicPr>
                  <pic:blipFill>
                    <a:blip r:embed="rId23"/>
                    <a:stretch>
                      <a:fillRect/>
                    </a:stretch>
                  </pic:blipFill>
                  <pic:spPr>
                    <a:xfrm>
                      <a:off x="0" y="0"/>
                      <a:ext cx="1814195" cy="2879725"/>
                    </a:xfrm>
                    <a:prstGeom prst="rect">
                      <a:avLst/>
                    </a:prstGeom>
                  </pic:spPr>
                </pic:pic>
              </a:graphicData>
            </a:graphic>
          </wp:inline>
        </w:drawing>
      </w:r>
    </w:p>
    <w:p>
      <w:pPr>
        <w:jc w:val="center"/>
        <w:rPr>
          <w:rFonts w:hint="default"/>
          <w:lang w:val="en-US" w:eastAsia="zh-CN"/>
        </w:rPr>
      </w:pPr>
      <w:r>
        <w:rPr>
          <w:rFonts w:hint="default" w:ascii="Times New Roman" w:hAnsi="Times New Roman" w:cs="Times New Roman"/>
          <w:b/>
          <w:bCs/>
          <w:color w:val="auto"/>
          <w:sz w:val="21"/>
          <w:szCs w:val="21"/>
          <w:lang w:val="en-US" w:eastAsia="zh-CN"/>
        </w:rPr>
        <w:t>图4-</w:t>
      </w:r>
      <w:r>
        <w:rPr>
          <w:rFonts w:hint="eastAsia" w:ascii="Times New Roman" w:hAnsi="Times New Roman" w:cs="Times New Roman"/>
          <w:b/>
          <w:bCs/>
          <w:color w:val="auto"/>
          <w:sz w:val="21"/>
          <w:szCs w:val="21"/>
          <w:lang w:val="en-US" w:eastAsia="zh-CN"/>
        </w:rPr>
        <w:t>3</w:t>
      </w:r>
      <w:r>
        <w:rPr>
          <w:rFonts w:hint="default" w:ascii="Times New Roman" w:hAnsi="Times New Roman" w:cs="Times New Roman"/>
          <w:b/>
          <w:bCs/>
          <w:color w:val="auto"/>
          <w:sz w:val="21"/>
          <w:szCs w:val="21"/>
          <w:lang w:val="en-US" w:eastAsia="zh-CN"/>
        </w:rPr>
        <w:t xml:space="preserve">  </w:t>
      </w:r>
      <w:r>
        <w:rPr>
          <w:rFonts w:hint="eastAsia" w:ascii="Times New Roman" w:hAnsi="Times New Roman" w:cs="Times New Roman"/>
          <w:b/>
          <w:bCs/>
          <w:color w:val="auto"/>
          <w:sz w:val="21"/>
          <w:szCs w:val="21"/>
          <w:lang w:val="en-US" w:eastAsia="zh-CN"/>
        </w:rPr>
        <w:t>危险废物暂存区现场</w:t>
      </w:r>
      <w:r>
        <w:rPr>
          <w:rFonts w:hint="default" w:ascii="Times New Roman" w:hAnsi="Times New Roman" w:cs="Times New Roman"/>
          <w:b/>
          <w:bCs/>
          <w:color w:val="auto"/>
          <w:sz w:val="21"/>
          <w:szCs w:val="21"/>
          <w:lang w:val="en-US" w:eastAsia="zh-CN"/>
        </w:rPr>
        <w:t>照片</w:t>
      </w:r>
    </w:p>
    <w:p>
      <w:pPr>
        <w:rPr>
          <w:rFonts w:hint="default"/>
          <w:lang w:val="en-US" w:eastAsia="zh-CN"/>
        </w:rPr>
      </w:pP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4.2其他环境保护设施</w:t>
      </w:r>
      <w:bookmarkEnd w:id="21"/>
    </w:p>
    <w:p>
      <w:pPr>
        <w:rPr>
          <w:rFonts w:hint="default" w:eastAsia="宋体"/>
          <w:lang w:val="en-US" w:eastAsia="zh-CN"/>
        </w:rPr>
      </w:pPr>
      <w:r>
        <w:rPr>
          <w:rFonts w:hint="eastAsia" w:eastAsia="宋体"/>
          <w:lang w:val="en-US" w:eastAsia="zh-CN"/>
        </w:rPr>
        <w:t xml:space="preserve">    无</w:t>
      </w:r>
    </w:p>
    <w:p>
      <w:pPr>
        <w:pStyle w:val="3"/>
        <w:spacing w:before="0" w:after="0" w:line="360" w:lineRule="auto"/>
        <w:rPr>
          <w:rFonts w:hint="default" w:ascii="Times New Roman" w:hAnsi="Times New Roman" w:eastAsia="宋体" w:cs="Times New Roman"/>
          <w:color w:val="auto"/>
          <w:sz w:val="24"/>
          <w:szCs w:val="24"/>
        </w:rPr>
      </w:pPr>
      <w:bookmarkStart w:id="22" w:name="_Toc28320"/>
      <w:r>
        <w:rPr>
          <w:rFonts w:hint="default" w:ascii="Times New Roman" w:hAnsi="Times New Roman" w:eastAsia="宋体" w:cs="Times New Roman"/>
          <w:color w:val="auto"/>
          <w:sz w:val="24"/>
          <w:szCs w:val="24"/>
        </w:rPr>
        <w:t>4.3环保设施投资及“三同时”落实情况</w:t>
      </w:r>
      <w:bookmarkEnd w:id="22"/>
    </w:p>
    <w:p>
      <w:pPr>
        <w:snapToGrid w:val="0"/>
        <w:spacing w:line="440" w:lineRule="exact"/>
        <w:ind w:firstLine="470" w:firstLineChars="196"/>
        <w:rPr>
          <w:rFonts w:hint="default" w:ascii="Times New Roman" w:hAnsi="Times New Roman" w:cs="Times New Roman"/>
          <w:color w:val="auto"/>
          <w:sz w:val="24"/>
          <w:szCs w:val="24"/>
        </w:rPr>
      </w:pPr>
      <w:r>
        <w:rPr>
          <w:rFonts w:hint="default" w:ascii="Times New Roman" w:hAnsi="Times New Roman" w:cs="Times New Roman"/>
          <w:b w:val="0"/>
          <w:bCs w:val="0"/>
          <w:color w:val="auto"/>
          <w:sz w:val="24"/>
          <w:szCs w:val="24"/>
        </w:rPr>
        <w:t>本项目实际总投资</w:t>
      </w:r>
      <w:r>
        <w:rPr>
          <w:rFonts w:hint="eastAsia" w:ascii="Times New Roman" w:hAnsi="Times New Roman" w:cs="Times New Roman"/>
          <w:b w:val="0"/>
          <w:bCs w:val="0"/>
          <w:color w:val="auto"/>
          <w:sz w:val="24"/>
          <w:szCs w:val="24"/>
          <w:lang w:val="en-US" w:eastAsia="zh-CN"/>
        </w:rPr>
        <w:t>4000</w:t>
      </w:r>
      <w:r>
        <w:rPr>
          <w:rFonts w:hint="default" w:ascii="Times New Roman" w:hAnsi="Times New Roman" w:cs="Times New Roman"/>
          <w:b w:val="0"/>
          <w:bCs w:val="0"/>
          <w:color w:val="auto"/>
          <w:sz w:val="24"/>
          <w:szCs w:val="24"/>
        </w:rPr>
        <w:t>元，其中环保投资</w:t>
      </w:r>
      <w:r>
        <w:rPr>
          <w:rFonts w:hint="eastAsia" w:ascii="Times New Roman" w:hAnsi="Times New Roman" w:cs="Times New Roman"/>
          <w:b w:val="0"/>
          <w:bCs w:val="0"/>
          <w:color w:val="auto"/>
          <w:sz w:val="24"/>
          <w:szCs w:val="24"/>
          <w:lang w:val="en-US" w:eastAsia="zh-CN"/>
        </w:rPr>
        <w:t>26</w:t>
      </w:r>
      <w:r>
        <w:rPr>
          <w:rFonts w:hint="default" w:ascii="Times New Roman" w:hAnsi="Times New Roman" w:cs="Times New Roman"/>
          <w:b w:val="0"/>
          <w:bCs w:val="0"/>
          <w:color w:val="auto"/>
          <w:sz w:val="24"/>
          <w:szCs w:val="24"/>
        </w:rPr>
        <w:t>万元，占总投资额</w:t>
      </w:r>
      <w:r>
        <w:rPr>
          <w:rFonts w:hint="eastAsia" w:ascii="Times New Roman" w:hAnsi="Times New Roman" w:cs="Times New Roman"/>
          <w:b w:val="0"/>
          <w:bCs w:val="0"/>
          <w:color w:val="auto"/>
          <w:sz w:val="24"/>
          <w:szCs w:val="24"/>
          <w:lang w:val="en-US" w:eastAsia="zh-CN"/>
        </w:rPr>
        <w:t>0.65</w:t>
      </w:r>
      <w:r>
        <w:rPr>
          <w:rFonts w:hint="default" w:ascii="Times New Roman" w:hAnsi="Times New Roman" w:cs="Times New Roman"/>
          <w:b w:val="0"/>
          <w:bCs w:val="0"/>
          <w:color w:val="auto"/>
          <w:sz w:val="24"/>
          <w:szCs w:val="24"/>
        </w:rPr>
        <w:t>%</w:t>
      </w:r>
      <w:r>
        <w:rPr>
          <w:rFonts w:hint="default" w:ascii="Times New Roman" w:hAnsi="Times New Roman" w:cs="Times New Roman"/>
          <w:color w:val="auto"/>
          <w:sz w:val="24"/>
          <w:szCs w:val="24"/>
        </w:rPr>
        <w:t>。具体环保投资明细见表4-4。</w:t>
      </w:r>
    </w:p>
    <w:p>
      <w:pPr>
        <w:keepNext w:val="0"/>
        <w:keepLines w:val="0"/>
        <w:pageBreakBefore w:val="0"/>
        <w:widowControl w:val="0"/>
        <w:kinsoku/>
        <w:wordWrap/>
        <w:overflowPunct/>
        <w:topLinePunct/>
        <w:autoSpaceDE/>
        <w:autoSpaceDN/>
        <w:bidi w:val="0"/>
        <w:adjustRightInd/>
        <w:snapToGrid w:val="0"/>
        <w:spacing w:line="440" w:lineRule="exact"/>
        <w:jc w:val="center"/>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rPr>
        <w:t>表4-4  环保投资费用一览表（单位：万元）</w:t>
      </w:r>
    </w:p>
    <w:tbl>
      <w:tblPr>
        <w:tblStyle w:val="16"/>
        <w:tblW w:w="850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01"/>
        <w:gridCol w:w="3611"/>
        <w:gridCol w:w="1380"/>
        <w:gridCol w:w="27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tcBorders>
              <w:top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611" w:type="dxa"/>
            <w:tcBorders>
              <w:top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内   容</w:t>
            </w:r>
          </w:p>
        </w:tc>
        <w:tc>
          <w:tcPr>
            <w:tcW w:w="1380" w:type="dxa"/>
            <w:tcBorders>
              <w:top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投资</w:t>
            </w:r>
          </w:p>
        </w:tc>
        <w:tc>
          <w:tcPr>
            <w:tcW w:w="2716" w:type="dxa"/>
            <w:tcBorders>
              <w:top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环保效益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361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化粪池及配套管路</w:t>
            </w:r>
          </w:p>
        </w:tc>
        <w:tc>
          <w:tcPr>
            <w:tcW w:w="138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3</w:t>
            </w:r>
          </w:p>
        </w:tc>
        <w:tc>
          <w:tcPr>
            <w:tcW w:w="2716"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废水达标入网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3611"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废气收集、静电处理装置、排气筒</w:t>
            </w:r>
          </w:p>
        </w:tc>
        <w:tc>
          <w:tcPr>
            <w:tcW w:w="138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16</w:t>
            </w:r>
          </w:p>
        </w:tc>
        <w:tc>
          <w:tcPr>
            <w:tcW w:w="2716"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废气达标排放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361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噪声防治措施</w:t>
            </w:r>
          </w:p>
        </w:tc>
        <w:tc>
          <w:tcPr>
            <w:tcW w:w="138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w:t>
            </w:r>
          </w:p>
        </w:tc>
        <w:tc>
          <w:tcPr>
            <w:tcW w:w="2716"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噪声达标排放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3611"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固废安全处置、危废暂存间等</w:t>
            </w:r>
          </w:p>
        </w:tc>
        <w:tc>
          <w:tcPr>
            <w:tcW w:w="138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w:t>
            </w:r>
          </w:p>
        </w:tc>
        <w:tc>
          <w:tcPr>
            <w:tcW w:w="2716"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安全处置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w:t>
            </w:r>
          </w:p>
        </w:tc>
        <w:tc>
          <w:tcPr>
            <w:tcW w:w="3611" w:type="dxa"/>
            <w:tcBorders>
              <w:bottom w:val="single" w:color="auto" w:sz="8"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rPr>
              <w:t>合计</w:t>
            </w:r>
          </w:p>
        </w:tc>
        <w:tc>
          <w:tcPr>
            <w:tcW w:w="1380" w:type="dxa"/>
            <w:tcBorders>
              <w:bottom w:val="single" w:color="auto" w:sz="8" w:space="0"/>
            </w:tcBorders>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26</w:t>
            </w:r>
          </w:p>
        </w:tc>
        <w:tc>
          <w:tcPr>
            <w:tcW w:w="2716" w:type="dxa"/>
            <w:tcBorders>
              <w:bottom w:val="single" w:color="auto" w:sz="8" w:space="0"/>
            </w:tcBorders>
            <w:vAlign w:val="center"/>
          </w:tcPr>
          <w:p>
            <w:pPr>
              <w:jc w:val="center"/>
              <w:rPr>
                <w:rFonts w:hint="default" w:ascii="Times New Roman" w:hAnsi="Times New Roman" w:cs="Times New Roman"/>
                <w:lang w:val="en-US" w:eastAsia="zh-CN"/>
              </w:rPr>
            </w:pPr>
          </w:p>
        </w:tc>
      </w:tr>
    </w:tbl>
    <w:p>
      <w:pPr>
        <w:numPr>
          <w:ilvl w:val="0"/>
          <w:numId w:val="0"/>
        </w:numPr>
        <w:spacing w:line="360" w:lineRule="auto"/>
        <w:jc w:val="both"/>
        <w:rPr>
          <w:rFonts w:hint="default" w:ascii="Times New Roman" w:hAnsi="Times New Roman" w:cs="Times New Roman"/>
          <w:color w:val="auto"/>
          <w:sz w:val="24"/>
          <w:szCs w:val="24"/>
          <w:lang w:val="en-US" w:eastAsia="zh-CN"/>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eastAsia" w:ascii="Times New Roman" w:hAnsi="Times New Roman" w:cs="Times New Roman"/>
          <w:color w:val="auto"/>
          <w:sz w:val="24"/>
          <w:szCs w:val="24"/>
          <w:lang w:val="en-US" w:eastAsia="zh-CN"/>
        </w:rPr>
        <w:t xml:space="preserve">    </w:t>
      </w:r>
    </w:p>
    <w:p>
      <w:pPr>
        <w:spacing w:line="360" w:lineRule="auto"/>
        <w:ind w:firstLine="480" w:firstLineChars="200"/>
        <w:rPr>
          <w:rFonts w:hint="default" w:ascii="Times New Roman" w:hAnsi="Times New Roman" w:cs="Times New Roman"/>
          <w:b/>
          <w:bCs/>
          <w:color w:val="auto"/>
        </w:rPr>
      </w:pPr>
      <w:r>
        <w:rPr>
          <w:rFonts w:hint="default" w:ascii="Times New Roman" w:hAnsi="Times New Roman" w:cs="Times New Roman"/>
          <w:color w:val="auto"/>
          <w:sz w:val="24"/>
          <w:szCs w:val="24"/>
        </w:rPr>
        <w:t>本项目“三同时”落实情况见表4-5。</w:t>
      </w:r>
    </w:p>
    <w:p>
      <w:pPr>
        <w:topLinePunct/>
        <w:snapToGrid w:val="0"/>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表4-5  “三同时”落实情况一览表</w:t>
      </w:r>
    </w:p>
    <w:tbl>
      <w:tblPr>
        <w:tblStyle w:val="1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245"/>
        <w:gridCol w:w="4425"/>
        <w:gridCol w:w="4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类别</w:t>
            </w:r>
          </w:p>
        </w:tc>
        <w:tc>
          <w:tcPr>
            <w:tcW w:w="4245"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环评要求</w:t>
            </w:r>
          </w:p>
        </w:tc>
        <w:tc>
          <w:tcPr>
            <w:tcW w:w="4425"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环评批复要求</w:t>
            </w:r>
          </w:p>
        </w:tc>
        <w:tc>
          <w:tcPr>
            <w:tcW w:w="4513"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bCs/>
                <w:color w:val="auto"/>
                <w:sz w:val="21"/>
                <w:szCs w:val="21"/>
                <w:vertAlign w:val="baseline"/>
                <w:lang w:val="en-US" w:eastAsia="zh-CN"/>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trPr>
        <w:tc>
          <w:tcPr>
            <w:tcW w:w="990"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eastAsiaTheme="minorEastAsia"/>
                <w:b w:val="0"/>
                <w:bCs w:val="0"/>
                <w:color w:val="auto"/>
                <w:sz w:val="21"/>
                <w:szCs w:val="21"/>
                <w:vertAlign w:val="baseline"/>
                <w:lang w:val="en-US" w:eastAsia="zh-CN"/>
              </w:rPr>
              <w:t>废水</w:t>
            </w:r>
          </w:p>
        </w:tc>
        <w:tc>
          <w:tcPr>
            <w:tcW w:w="4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textAlignment w:val="auto"/>
              <w:outlineLvl w:val="9"/>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lang w:val="en-US" w:eastAsia="zh-CN"/>
              </w:rPr>
              <w:t>由现状监测资料可知，南星桥港金嘉大道公路桥断面水质除pH、DO、COD</w:t>
            </w:r>
            <w:r>
              <w:rPr>
                <w:rFonts w:hint="default" w:ascii="Times New Roman" w:hAnsi="Times New Roman" w:cs="Times New Roman" w:eastAsiaTheme="minorEastAsia"/>
                <w:b w:val="0"/>
                <w:bCs w:val="0"/>
                <w:sz w:val="21"/>
                <w:szCs w:val="21"/>
                <w:vertAlign w:val="subscript"/>
                <w:lang w:val="en-US" w:eastAsia="zh-CN"/>
              </w:rPr>
              <w:t>Cr</w:t>
            </w:r>
            <w:r>
              <w:rPr>
                <w:rFonts w:hint="default" w:ascii="Times New Roman" w:hAnsi="Times New Roman" w:cs="Times New Roman" w:eastAsiaTheme="minorEastAsia"/>
                <w:b w:val="0"/>
                <w:bCs w:val="0"/>
                <w:sz w:val="21"/>
                <w:szCs w:val="21"/>
                <w:vertAlign w:val="baseline"/>
                <w:lang w:val="en-US" w:eastAsia="zh-CN"/>
              </w:rPr>
              <w:t>、</w:t>
            </w:r>
            <w:r>
              <w:rPr>
                <w:rFonts w:hint="default" w:ascii="Times New Roman" w:hAnsi="Times New Roman" w:cs="Times New Roman" w:eastAsiaTheme="minorEastAsia"/>
                <w:b w:val="0"/>
                <w:bCs w:val="0"/>
                <w:sz w:val="21"/>
                <w:szCs w:val="21"/>
                <w:lang w:val="en-US" w:eastAsia="zh-CN"/>
              </w:rPr>
              <w:t>COD</w:t>
            </w:r>
            <w:r>
              <w:rPr>
                <w:rFonts w:hint="default" w:ascii="Times New Roman" w:hAnsi="Times New Roman" w:cs="Times New Roman" w:eastAsiaTheme="minorEastAsia"/>
                <w:b w:val="0"/>
                <w:bCs w:val="0"/>
                <w:sz w:val="21"/>
                <w:szCs w:val="21"/>
                <w:vertAlign w:val="subscript"/>
                <w:lang w:val="en-US" w:eastAsia="zh-CN"/>
              </w:rPr>
              <w:t>Mn</w:t>
            </w:r>
            <w:r>
              <w:rPr>
                <w:rFonts w:hint="default" w:ascii="Times New Roman" w:hAnsi="Times New Roman" w:cs="Times New Roman" w:eastAsiaTheme="minorEastAsia"/>
                <w:b w:val="0"/>
                <w:bCs w:val="0"/>
                <w:sz w:val="21"/>
                <w:szCs w:val="21"/>
                <w:vertAlign w:val="baseline"/>
                <w:lang w:val="en-US" w:eastAsia="zh-CN"/>
              </w:rPr>
              <w:t>外，其余各指标均不能达到III类水质要求，BOD</w:t>
            </w:r>
            <w:r>
              <w:rPr>
                <w:rFonts w:hint="default" w:ascii="Times New Roman" w:hAnsi="Times New Roman" w:cs="Times New Roman" w:eastAsiaTheme="minorEastAsia"/>
                <w:b w:val="0"/>
                <w:bCs w:val="0"/>
                <w:sz w:val="21"/>
                <w:szCs w:val="21"/>
                <w:vertAlign w:val="subscript"/>
                <w:lang w:val="en-US" w:eastAsia="zh-CN"/>
              </w:rPr>
              <w:t>5</w:t>
            </w:r>
            <w:r>
              <w:rPr>
                <w:rFonts w:hint="default" w:ascii="Times New Roman" w:hAnsi="Times New Roman" w:cs="Times New Roman" w:eastAsiaTheme="minorEastAsia"/>
                <w:b w:val="0"/>
                <w:bCs w:val="0"/>
                <w:sz w:val="21"/>
                <w:szCs w:val="21"/>
                <w:vertAlign w:val="baseline"/>
                <w:lang w:val="en-US" w:eastAsia="zh-CN"/>
              </w:rPr>
              <w:t>、氨氮、石油类、总磷最大比标准分别为1.53、3.16、1.80、2.12。</w:t>
            </w:r>
          </w:p>
          <w:p>
            <w:pPr>
              <w:keepNext w:val="0"/>
              <w:keepLines w:val="0"/>
              <w:pageBreakBefore w:val="0"/>
              <w:widowControl w:val="0"/>
              <w:kinsoku/>
              <w:wordWrap/>
              <w:overflowPunct/>
              <w:topLinePunct/>
              <w:autoSpaceDE/>
              <w:autoSpaceDN/>
              <w:bidi w:val="0"/>
              <w:spacing w:line="240" w:lineRule="auto"/>
              <w:ind w:firstLine="480"/>
              <w:jc w:val="both"/>
              <w:textAlignment w:val="auto"/>
              <w:rPr>
                <w:rFonts w:hint="default" w:ascii="Times New Roman" w:hAnsi="Times New Roman" w:cs="Times New Roman" w:eastAsiaTheme="minorEastAsia"/>
                <w:b w:val="0"/>
                <w:bCs w:val="0"/>
                <w:color w:val="auto"/>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综上可知，本项目周围水体污染严重，已不能达到相应功能区III类水体标准且严重超标，水体呈现为较明显的富营养化，主要原因是嘉善地区地面水整体上受广大农业面源及部分城市居民生活污水的直排污染影响。</w:t>
            </w:r>
          </w:p>
        </w:tc>
        <w:tc>
          <w:tcPr>
            <w:tcW w:w="4425" w:type="dxa"/>
            <w:vAlign w:val="center"/>
          </w:tcPr>
          <w:p>
            <w:pPr>
              <w:keepNext w:val="0"/>
              <w:keepLines w:val="0"/>
              <w:pageBreakBefore w:val="0"/>
              <w:widowControl w:val="0"/>
              <w:numPr>
                <w:ilvl w:val="0"/>
                <w:numId w:val="0"/>
              </w:numPr>
              <w:kinsoku/>
              <w:wordWrap/>
              <w:overflowPunct/>
              <w:autoSpaceDE/>
              <w:autoSpaceDN/>
              <w:bidi w:val="0"/>
              <w:spacing w:line="240" w:lineRule="auto"/>
              <w:ind w:left="420" w:leftChars="0"/>
              <w:textAlignment w:val="auto"/>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 w:val="21"/>
                <w:szCs w:val="21"/>
                <w:lang w:val="en-US" w:eastAsia="zh-CN"/>
              </w:rPr>
              <w:t>厂区雨污分流。生产废水和生活污水分别</w:t>
            </w:r>
          </w:p>
          <w:p>
            <w:pPr>
              <w:keepNext w:val="0"/>
              <w:keepLines w:val="0"/>
              <w:pageBreakBefore w:val="0"/>
              <w:widowControl w:val="0"/>
              <w:numPr>
                <w:ilvl w:val="0"/>
                <w:numId w:val="0"/>
              </w:numPr>
              <w:kinsoku/>
              <w:wordWrap/>
              <w:overflowPunct/>
              <w:autoSpaceDE/>
              <w:autoSpaceDN/>
              <w:bidi w:val="0"/>
              <w:spacing w:line="240" w:lineRule="auto"/>
              <w:textAlignment w:val="auto"/>
              <w:rPr>
                <w:rFonts w:hint="default" w:ascii="Times New Roman" w:hAnsi="Times New Roman" w:cs="Times New Roman" w:eastAsiaTheme="minorEastAsia"/>
                <w:b w:val="0"/>
                <w:bCs w:val="0"/>
                <w:color w:val="auto"/>
                <w:sz w:val="21"/>
                <w:szCs w:val="21"/>
                <w:vertAlign w:val="baseline"/>
                <w:lang w:val="en-US" w:eastAsia="zh-CN"/>
              </w:rPr>
            </w:pPr>
            <w:r>
              <w:rPr>
                <w:rFonts w:hint="default" w:ascii="Times New Roman" w:hAnsi="Times New Roman" w:cs="Times New Roman" w:eastAsiaTheme="minorEastAsia"/>
                <w:b w:val="0"/>
                <w:bCs/>
                <w:sz w:val="21"/>
                <w:szCs w:val="21"/>
                <w:lang w:val="en-US" w:eastAsia="zh-CN"/>
              </w:rPr>
              <w:t>经预处理达标后排入污水管网送污水处理厂集中处理。废水排放执行《污水综合排放标准》（GB8978-1996）三级标准。</w:t>
            </w:r>
          </w:p>
        </w:tc>
        <w:tc>
          <w:tcPr>
            <w:tcW w:w="4513" w:type="dxa"/>
            <w:vAlign w:val="center"/>
          </w:tcPr>
          <w:p>
            <w:pPr>
              <w:keepNext w:val="0"/>
              <w:keepLines w:val="0"/>
              <w:pageBreakBefore w:val="0"/>
              <w:widowControl w:val="0"/>
              <w:kinsoku/>
              <w:wordWrap/>
              <w:overflowPunct/>
              <w:autoSpaceDE/>
              <w:autoSpaceDN/>
              <w:bidi w:val="0"/>
              <w:adjustRightInd/>
              <w:spacing w:line="240" w:lineRule="auto"/>
              <w:ind w:firstLine="420" w:firstLineChars="20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已落实。</w:t>
            </w:r>
          </w:p>
          <w:p>
            <w:pPr>
              <w:keepNext w:val="0"/>
              <w:keepLines w:val="0"/>
              <w:pageBreakBefore w:val="0"/>
              <w:widowControl w:val="0"/>
              <w:kinsoku/>
              <w:wordWrap/>
              <w:overflowPunct/>
              <w:autoSpaceDE/>
              <w:autoSpaceDN/>
              <w:bidi w:val="0"/>
              <w:spacing w:line="240" w:lineRule="auto"/>
              <w:ind w:firstLine="420" w:firstLineChars="20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厂区实行</w:t>
            </w:r>
            <w:r>
              <w:rPr>
                <w:rFonts w:hint="eastAsia" w:ascii="Times New Roman" w:hAnsi="Times New Roman" w:cs="Times New Roman"/>
                <w:color w:val="auto"/>
                <w:sz w:val="21"/>
                <w:szCs w:val="21"/>
                <w:lang w:val="en-US" w:eastAsia="zh-CN"/>
              </w:rPr>
              <w:t>清污分流、</w:t>
            </w:r>
            <w:r>
              <w:rPr>
                <w:rFonts w:hint="default" w:ascii="Times New Roman" w:hAnsi="Times New Roman" w:cs="Times New Roman" w:eastAsiaTheme="minorEastAsia"/>
                <w:color w:val="auto"/>
                <w:sz w:val="21"/>
                <w:szCs w:val="21"/>
                <w:lang w:val="en-US" w:eastAsia="zh-CN"/>
              </w:rPr>
              <w:t>雨污分流。</w:t>
            </w:r>
            <w:r>
              <w:rPr>
                <w:rFonts w:hint="eastAsia" w:ascii="Times New Roman" w:hAnsi="Times New Roman" w:cs="Times New Roman"/>
                <w:color w:val="auto"/>
                <w:sz w:val="21"/>
                <w:szCs w:val="21"/>
                <w:lang w:val="en-US" w:eastAsia="zh-CN"/>
              </w:rPr>
              <w:t>生活污水经化粪池、隔油池处理达标后</w:t>
            </w:r>
            <w:r>
              <w:rPr>
                <w:rFonts w:hint="default" w:ascii="Times New Roman" w:hAnsi="Times New Roman" w:cs="Times New Roman"/>
                <w:color w:val="auto"/>
                <w:sz w:val="21"/>
                <w:szCs w:val="21"/>
                <w:lang w:val="en-US" w:eastAsia="zh-CN"/>
              </w:rPr>
              <w:t>纳入</w:t>
            </w:r>
            <w:r>
              <w:rPr>
                <w:rFonts w:hint="eastAsia" w:ascii="Times New Roman" w:hAnsi="Times New Roman" w:cs="Times New Roman"/>
                <w:color w:val="auto"/>
                <w:sz w:val="21"/>
                <w:szCs w:val="21"/>
                <w:lang w:val="en-US" w:eastAsia="zh-CN"/>
              </w:rPr>
              <w:t>嘉善县姚庄镇污水管网，经姚庄污水处理厂</w:t>
            </w:r>
            <w:r>
              <w:rPr>
                <w:rFonts w:hint="default" w:ascii="Times New Roman" w:hAnsi="Times New Roman" w:cs="Times New Roman"/>
                <w:color w:val="auto"/>
                <w:sz w:val="21"/>
                <w:szCs w:val="21"/>
              </w:rPr>
              <w:t>集中处理达标后排放。</w:t>
            </w:r>
            <w:r>
              <w:rPr>
                <w:rFonts w:hint="eastAsia" w:ascii="Times New Roman" w:hAnsi="Times New Roman" w:cs="Times New Roman"/>
                <w:color w:val="auto"/>
                <w:sz w:val="21"/>
                <w:szCs w:val="21"/>
                <w:lang w:val="en-US" w:eastAsia="zh-CN"/>
              </w:rPr>
              <w:t>清洗废水循环使用，不外排。</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default" w:ascii="Times New Roman" w:hAnsi="Times New Roman" w:cs="Times New Roman" w:eastAsiaTheme="minorEastAsia"/>
                <w:b/>
                <w:bCs/>
                <w:color w:val="auto"/>
                <w:sz w:val="21"/>
                <w:szCs w:val="21"/>
                <w:vertAlign w:val="baseline"/>
                <w:lang w:val="en-US"/>
              </w:rPr>
            </w:pPr>
            <w:r>
              <w:rPr>
                <w:rFonts w:hint="default" w:ascii="Times New Roman" w:hAnsi="Times New Roman" w:cs="Times New Roman" w:eastAsiaTheme="minorEastAsia"/>
                <w:color w:val="auto"/>
                <w:sz w:val="21"/>
                <w:szCs w:val="21"/>
                <w:lang w:val="en-US" w:eastAsia="zh-CN"/>
              </w:rPr>
              <w:t>全厂</w:t>
            </w:r>
            <w:r>
              <w:rPr>
                <w:rFonts w:hint="default" w:ascii="Times New Roman" w:hAnsi="Times New Roman" w:cs="Times New Roman" w:eastAsiaTheme="minorEastAsia"/>
                <w:color w:val="auto"/>
                <w:sz w:val="21"/>
                <w:szCs w:val="21"/>
              </w:rPr>
              <w:t>废水</w:t>
            </w:r>
            <w:r>
              <w:rPr>
                <w:rFonts w:hint="default" w:ascii="Times New Roman" w:hAnsi="Times New Roman" w:cs="Times New Roman" w:eastAsiaTheme="minorEastAsia"/>
                <w:color w:val="auto"/>
                <w:sz w:val="21"/>
                <w:szCs w:val="21"/>
                <w:lang w:val="en-US" w:eastAsia="zh-CN"/>
              </w:rPr>
              <w:t>排放量</w:t>
            </w:r>
            <w:r>
              <w:rPr>
                <w:rFonts w:hint="eastAsia" w:ascii="Times New Roman" w:hAnsi="Times New Roman" w:cs="Times New Roman"/>
                <w:color w:val="auto"/>
                <w:sz w:val="21"/>
                <w:szCs w:val="21"/>
                <w:lang w:val="en-US" w:eastAsia="zh-CN"/>
              </w:rPr>
              <w:t>为2974</w:t>
            </w:r>
            <w:r>
              <w:rPr>
                <w:rFonts w:hint="default" w:ascii="Times New Roman" w:hAnsi="Times New Roman" w:cs="Times New Roman" w:eastAsiaTheme="minorEastAsia"/>
                <w:b w:val="0"/>
                <w:bCs w:val="0"/>
                <w:color w:val="auto"/>
                <w:sz w:val="21"/>
                <w:szCs w:val="21"/>
                <w:vertAlign w:val="baseline"/>
                <w:lang w:val="en-US" w:eastAsia="zh-CN"/>
              </w:rPr>
              <w:t>t/a，</w:t>
            </w:r>
            <w:r>
              <w:rPr>
                <w:rFonts w:hint="default" w:ascii="Times New Roman" w:hAnsi="Times New Roman" w:cs="Times New Roman" w:eastAsiaTheme="minorEastAsia"/>
                <w:color w:val="auto"/>
                <w:sz w:val="21"/>
                <w:szCs w:val="21"/>
              </w:rPr>
              <w:t>入网口的水质中pH、C</w:t>
            </w:r>
            <w:r>
              <w:rPr>
                <w:rFonts w:hint="default" w:ascii="Times New Roman" w:hAnsi="Times New Roman" w:cs="Times New Roman" w:eastAsiaTheme="minorEastAsia"/>
                <w:sz w:val="21"/>
                <w:szCs w:val="21"/>
              </w:rPr>
              <w:t>OD</w:t>
            </w:r>
            <w:r>
              <w:rPr>
                <w:rFonts w:hint="default" w:ascii="Times New Roman" w:hAnsi="Times New Roman" w:cs="Times New Roman" w:eastAsiaTheme="minorEastAsia"/>
                <w:sz w:val="21"/>
                <w:szCs w:val="21"/>
                <w:vertAlign w:val="subscript"/>
              </w:rPr>
              <w:t>Cr</w:t>
            </w:r>
            <w:r>
              <w:rPr>
                <w:rFonts w:hint="default" w:ascii="Times New Roman" w:hAnsi="Times New Roman" w:cs="Times New Roman" w:eastAsiaTheme="minorEastAsia"/>
                <w:sz w:val="21"/>
                <w:szCs w:val="21"/>
              </w:rPr>
              <w:t>、SS</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b w:val="0"/>
                <w:bCs/>
                <w:color w:val="auto"/>
                <w:kern w:val="0"/>
                <w:sz w:val="21"/>
                <w:szCs w:val="21"/>
                <w:lang w:val="en-US" w:eastAsia="zh-CN"/>
              </w:rPr>
              <w:t>BOD</w:t>
            </w:r>
            <w:r>
              <w:rPr>
                <w:rFonts w:hint="default" w:ascii="Times New Roman" w:hAnsi="Times New Roman" w:cs="Times New Roman" w:eastAsiaTheme="minorEastAsia"/>
                <w:b w:val="0"/>
                <w:bCs/>
                <w:color w:val="auto"/>
                <w:kern w:val="0"/>
                <w:sz w:val="21"/>
                <w:szCs w:val="21"/>
                <w:vertAlign w:val="subscript"/>
                <w:lang w:val="en-US" w:eastAsia="zh-CN"/>
              </w:rPr>
              <w:t>5</w:t>
            </w:r>
            <w:r>
              <w:rPr>
                <w:rFonts w:hint="default" w:ascii="Times New Roman" w:hAnsi="Times New Roman" w:cs="Times New Roman" w:eastAsiaTheme="minorEastAsia"/>
                <w:b w:val="0"/>
                <w:bCs/>
                <w:color w:val="auto"/>
                <w:kern w:val="0"/>
                <w:sz w:val="21"/>
                <w:szCs w:val="21"/>
                <w:vertAlign w:val="baseline"/>
                <w:lang w:val="en-US" w:eastAsia="zh-CN"/>
              </w:rPr>
              <w:t>、动植物油</w:t>
            </w:r>
            <w:r>
              <w:rPr>
                <w:rFonts w:hint="default" w:ascii="Times New Roman" w:hAnsi="Times New Roman" w:cs="Times New Roman" w:eastAsiaTheme="minorEastAsia"/>
                <w:sz w:val="21"/>
                <w:szCs w:val="21"/>
              </w:rPr>
              <w:t>的浓度日均值达到《污水综合排放标准》（GB8978-1996）表4中的三级标准，其中氨氮</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val="en-US" w:eastAsia="zh-CN"/>
              </w:rPr>
              <w:t>总磷</w:t>
            </w:r>
            <w:r>
              <w:rPr>
                <w:rFonts w:hint="default" w:ascii="Times New Roman" w:hAnsi="Times New Roman" w:cs="Times New Roman" w:eastAsiaTheme="minorEastAsia"/>
                <w:sz w:val="21"/>
                <w:szCs w:val="21"/>
              </w:rPr>
              <w:t>日均值达到《工业企业废水氮、磷污染物间接排放限值》（DB33/887-2013）的相关标准。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990" w:type="dxa"/>
            <w:vAlign w:val="center"/>
          </w:tcPr>
          <w:p>
            <w:pPr>
              <w:topLinePunct/>
              <w:snapToGrid w:val="0"/>
              <w:spacing w:line="240" w:lineRule="auto"/>
              <w:jc w:val="center"/>
              <w:rPr>
                <w:rFonts w:hint="default" w:ascii="Times New Roman" w:hAnsi="Times New Roman" w:cs="Times New Roman" w:eastAsiaTheme="minorEastAsia"/>
                <w:b w:val="0"/>
                <w:bCs w:val="0"/>
                <w:color w:val="auto"/>
                <w:sz w:val="21"/>
                <w:szCs w:val="21"/>
                <w:vertAlign w:val="baseline"/>
                <w:lang w:val="en-US" w:eastAsia="zh-CN"/>
              </w:rPr>
            </w:pPr>
            <w:r>
              <w:rPr>
                <w:rFonts w:hint="default" w:ascii="Times New Roman" w:hAnsi="Times New Roman" w:cs="Times New Roman" w:eastAsiaTheme="minorEastAsia"/>
                <w:b w:val="0"/>
                <w:bCs w:val="0"/>
                <w:color w:val="auto"/>
                <w:sz w:val="21"/>
                <w:szCs w:val="21"/>
                <w:vertAlign w:val="baseline"/>
                <w:lang w:val="en-US" w:eastAsia="zh-CN"/>
              </w:rPr>
              <w:t>废气</w:t>
            </w:r>
          </w:p>
        </w:tc>
        <w:tc>
          <w:tcPr>
            <w:tcW w:w="4245" w:type="dxa"/>
            <w:vAlign w:val="center"/>
          </w:tcPr>
          <w:p>
            <w:pPr>
              <w:numPr>
                <w:ilvl w:val="0"/>
                <w:numId w:val="0"/>
              </w:numPr>
              <w:spacing w:line="240" w:lineRule="auto"/>
              <w:ind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val="0"/>
                <w:bCs w:val="0"/>
                <w:sz w:val="21"/>
                <w:szCs w:val="21"/>
                <w:lang w:val="en-US" w:eastAsia="zh-CN"/>
              </w:rPr>
              <w:t>由大气监测资料可知，本项目附近环境空气质量较好，SO</w:t>
            </w:r>
            <w:r>
              <w:rPr>
                <w:rFonts w:hint="default" w:ascii="Times New Roman" w:hAnsi="Times New Roman" w:cs="Times New Roman" w:eastAsiaTheme="minorEastAsia"/>
                <w:b w:val="0"/>
                <w:bCs w:val="0"/>
                <w:sz w:val="21"/>
                <w:szCs w:val="21"/>
                <w:vertAlign w:val="subscript"/>
                <w:lang w:val="en-US" w:eastAsia="zh-CN"/>
              </w:rPr>
              <w:t>2</w:t>
            </w:r>
            <w:r>
              <w:rPr>
                <w:rFonts w:hint="default" w:ascii="Times New Roman" w:hAnsi="Times New Roman" w:cs="Times New Roman" w:eastAsiaTheme="minorEastAsia"/>
                <w:b w:val="0"/>
                <w:bCs w:val="0"/>
                <w:sz w:val="21"/>
                <w:szCs w:val="21"/>
                <w:lang w:val="en-US" w:eastAsia="zh-CN"/>
              </w:rPr>
              <w:t>、NO</w:t>
            </w:r>
            <w:r>
              <w:rPr>
                <w:rFonts w:hint="default" w:ascii="Times New Roman" w:hAnsi="Times New Roman" w:cs="Times New Roman" w:eastAsiaTheme="minorEastAsia"/>
                <w:b w:val="0"/>
                <w:bCs w:val="0"/>
                <w:sz w:val="21"/>
                <w:szCs w:val="21"/>
                <w:vertAlign w:val="subscript"/>
                <w:lang w:val="en-US" w:eastAsia="zh-CN"/>
              </w:rPr>
              <w:t>2</w:t>
            </w:r>
            <w:r>
              <w:rPr>
                <w:rFonts w:hint="default" w:ascii="Times New Roman" w:hAnsi="Times New Roman" w:cs="Times New Roman" w:eastAsiaTheme="minorEastAsia"/>
                <w:b w:val="0"/>
                <w:bCs w:val="0"/>
                <w:sz w:val="21"/>
                <w:szCs w:val="21"/>
                <w:lang w:val="en-US" w:eastAsia="zh-CN"/>
              </w:rPr>
              <w:t>、PM</w:t>
            </w:r>
            <w:r>
              <w:rPr>
                <w:rFonts w:hint="default" w:ascii="Times New Roman" w:hAnsi="Times New Roman" w:cs="Times New Roman" w:eastAsiaTheme="minorEastAsia"/>
                <w:b w:val="0"/>
                <w:bCs w:val="0"/>
                <w:sz w:val="21"/>
                <w:szCs w:val="21"/>
                <w:vertAlign w:val="subscript"/>
                <w:lang w:val="en-US" w:eastAsia="zh-CN"/>
              </w:rPr>
              <w:t>10</w:t>
            </w:r>
            <w:r>
              <w:rPr>
                <w:rFonts w:hint="default" w:ascii="Times New Roman" w:hAnsi="Times New Roman" w:cs="Times New Roman" w:eastAsiaTheme="minorEastAsia"/>
                <w:b w:val="0"/>
                <w:bCs w:val="0"/>
                <w:sz w:val="21"/>
                <w:szCs w:val="21"/>
                <w:lang w:val="en-US" w:eastAsia="zh-CN"/>
              </w:rPr>
              <w:t>均能达到《环境空气质量标准》（GB3095-2012）中的二级标准。</w:t>
            </w:r>
          </w:p>
        </w:tc>
        <w:tc>
          <w:tcPr>
            <w:tcW w:w="4425" w:type="dxa"/>
            <w:vAlign w:val="center"/>
          </w:tcPr>
          <w:p>
            <w:pPr>
              <w:numPr>
                <w:ilvl w:val="0"/>
                <w:numId w:val="0"/>
              </w:numPr>
              <w:spacing w:line="240" w:lineRule="auto"/>
              <w:ind w:left="420" w:leftChars="0"/>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 w:val="21"/>
                <w:szCs w:val="21"/>
                <w:lang w:val="en-US" w:eastAsia="zh-CN"/>
              </w:rPr>
              <w:t>加强车间通风换气，淬火、回火过程中产</w:t>
            </w:r>
          </w:p>
          <w:p>
            <w:pPr>
              <w:numPr>
                <w:ilvl w:val="0"/>
                <w:numId w:val="0"/>
              </w:numPr>
              <w:spacing w:line="240" w:lineRule="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val="0"/>
                <w:bCs/>
                <w:sz w:val="21"/>
                <w:szCs w:val="21"/>
                <w:lang w:val="en-US" w:eastAsia="zh-CN"/>
              </w:rPr>
              <w:t>生的有机废气经有效收集处理后通过15米高的排气筒排放，废气排放执行《大气污染物综合排放标准》（GB16297-1996）二级标准。根据环评计算结果，本项目不需设置大气环境防护距离，其他各类防护距离要求请业主、当地政府和有关部门按国家、卫生、安全、产业主管部门相关规定予以落实。</w:t>
            </w:r>
          </w:p>
        </w:tc>
        <w:tc>
          <w:tcPr>
            <w:tcW w:w="4513" w:type="dxa"/>
            <w:vAlign w:val="center"/>
          </w:tcPr>
          <w:p>
            <w:pPr>
              <w:spacing w:line="240" w:lineRule="auto"/>
              <w:ind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已落实。</w:t>
            </w:r>
          </w:p>
          <w:p>
            <w:pPr>
              <w:spacing w:line="240" w:lineRule="auto"/>
              <w:ind w:firstLine="420" w:firstLineChars="200"/>
              <w:rPr>
                <w:rFonts w:hint="default" w:ascii="Times New Roman" w:hAnsi="Times New Roman" w:cs="Times New Roman" w:eastAsiaTheme="minorEastAsia"/>
                <w:b w:val="0"/>
                <w:bCs/>
                <w:sz w:val="21"/>
                <w:szCs w:val="21"/>
                <w:lang w:val="en-US" w:eastAsia="zh-CN"/>
              </w:rPr>
            </w:pPr>
            <w:r>
              <w:rPr>
                <w:rFonts w:hint="eastAsia" w:ascii="Times New Roman" w:hAnsi="Times New Roman" w:cs="Times New Roman"/>
                <w:color w:val="auto"/>
                <w:sz w:val="21"/>
                <w:szCs w:val="21"/>
                <w:lang w:val="en-US" w:eastAsia="zh-CN"/>
              </w:rPr>
              <w:t>本项目回火产生的有机废气经集气罩收集后，再由静电装置处理，尾气通过15m高排气筒排放。非甲烷总烃的</w:t>
            </w:r>
            <w:r>
              <w:rPr>
                <w:rFonts w:hint="default" w:ascii="Times New Roman" w:hAnsi="Times New Roman" w:cs="Times New Roman" w:eastAsiaTheme="minorEastAsia"/>
                <w:color w:val="auto"/>
                <w:sz w:val="21"/>
                <w:szCs w:val="21"/>
                <w:lang w:val="en-US" w:eastAsia="zh-CN"/>
              </w:rPr>
              <w:t>排放浓度及排放速率均达到《大气污染物综合排放标准》（GB16297-1996）中的二级标准。</w:t>
            </w:r>
          </w:p>
        </w:tc>
      </w:tr>
    </w:tbl>
    <w:p>
      <w:pPr>
        <w:numPr>
          <w:ilvl w:val="0"/>
          <w:numId w:val="0"/>
        </w:numPr>
        <w:spacing w:line="360" w:lineRule="auto"/>
        <w:ind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续上表：</w:t>
      </w:r>
    </w:p>
    <w:tbl>
      <w:tblPr>
        <w:tblStyle w:val="1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4500"/>
        <w:gridCol w:w="4290"/>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85"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类别</w:t>
            </w:r>
          </w:p>
        </w:tc>
        <w:tc>
          <w:tcPr>
            <w:tcW w:w="4500"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环评要求</w:t>
            </w:r>
          </w:p>
        </w:tc>
        <w:tc>
          <w:tcPr>
            <w:tcW w:w="4290"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环评批复要求</w:t>
            </w:r>
          </w:p>
        </w:tc>
        <w:tc>
          <w:tcPr>
            <w:tcW w:w="4198" w:type="dxa"/>
            <w:vAlign w:val="center"/>
          </w:tcPr>
          <w:p>
            <w:pPr>
              <w:topLinePunct/>
              <w:snapToGrid w:val="0"/>
              <w:spacing w:line="240" w:lineRule="auto"/>
              <w:jc w:val="center"/>
              <w:rPr>
                <w:rFonts w:hint="default" w:ascii="Times New Roman" w:hAnsi="Times New Roman" w:cs="Times New Roman" w:eastAsiaTheme="minorEastAsia"/>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1185" w:type="dxa"/>
            <w:vAlign w:val="center"/>
          </w:tcPr>
          <w:p>
            <w:pPr>
              <w:topLinePunct/>
              <w:snapToGrid w:val="0"/>
              <w:spacing w:line="240" w:lineRule="auto"/>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噪声</w:t>
            </w:r>
          </w:p>
        </w:tc>
        <w:tc>
          <w:tcPr>
            <w:tcW w:w="4500" w:type="dxa"/>
            <w:vAlign w:val="center"/>
          </w:tcPr>
          <w:p>
            <w:pPr>
              <w:spacing w:line="240" w:lineRule="auto"/>
              <w:ind w:firstLine="420" w:firstLineChars="200"/>
              <w:rPr>
                <w:rFonts w:hint="default" w:ascii="Times New Roman" w:hAnsi="Times New Roman" w:cs="Times New Roman"/>
                <w:b/>
                <w:bCs/>
                <w:color w:val="auto"/>
                <w:sz w:val="21"/>
                <w:szCs w:val="21"/>
                <w:vertAlign w:val="baseline"/>
                <w:lang w:val="en-US" w:eastAsia="zh-CN"/>
              </w:rPr>
            </w:pPr>
            <w:r>
              <w:rPr>
                <w:rFonts w:hint="eastAsia" w:ascii="Times New Roman" w:hAnsi="Times New Roman" w:cs="Times New Roman"/>
                <w:b w:val="0"/>
                <w:bCs w:val="0"/>
                <w:sz w:val="21"/>
                <w:szCs w:val="21"/>
                <w:lang w:val="en-US" w:eastAsia="zh-CN"/>
              </w:rPr>
              <w:t>由监测结果可知，本项目所在区域环境噪声现状较好，各监测点昼间噪声监测值均能达到《声环境质量标准》（GB3096-2008）中的相应标准</w:t>
            </w:r>
            <w:r>
              <w:rPr>
                <w:rFonts w:hint="eastAsia" w:ascii="Times New Roman" w:hAnsi="Times New Roman" w:cs="Times New Roman"/>
                <w:sz w:val="21"/>
                <w:szCs w:val="21"/>
                <w:lang w:val="en-US" w:eastAsia="zh-CN"/>
              </w:rPr>
              <w:t>。</w:t>
            </w:r>
          </w:p>
        </w:tc>
        <w:tc>
          <w:tcPr>
            <w:tcW w:w="4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bCs/>
                <w:color w:val="auto"/>
                <w:sz w:val="21"/>
                <w:szCs w:val="21"/>
                <w:vertAlign w:val="baseline"/>
                <w:lang w:val="en-US" w:eastAsia="zh-CN"/>
              </w:rPr>
            </w:pPr>
            <w:r>
              <w:rPr>
                <w:rFonts w:hint="eastAsia" w:ascii="Times New Roman" w:hAnsi="Times New Roman" w:eastAsia="宋体" w:cs="Times New Roman"/>
                <w:b w:val="0"/>
                <w:bCs/>
                <w:sz w:val="21"/>
                <w:szCs w:val="21"/>
                <w:lang w:val="en-US" w:eastAsia="zh-CN"/>
              </w:rPr>
              <w:t>对高噪声设备采取有效的减震、隔声、降噪措施，并加强设备的日常维护。厂界噪声执行《工业企业厂界环境噪声排放标准》（GB12348-2008）</w:t>
            </w:r>
            <w:r>
              <w:rPr>
                <w:rFonts w:hint="eastAsia" w:ascii="Times New Roman" w:hAnsi="Times New Roman" w:cs="Times New Roman"/>
                <w:b w:val="0"/>
                <w:bCs/>
                <w:sz w:val="21"/>
                <w:szCs w:val="21"/>
                <w:lang w:val="en-US" w:eastAsia="zh-CN"/>
              </w:rPr>
              <w:t>3</w:t>
            </w:r>
            <w:r>
              <w:rPr>
                <w:rFonts w:hint="eastAsia" w:ascii="Times New Roman" w:hAnsi="Times New Roman" w:eastAsia="宋体" w:cs="Times New Roman"/>
                <w:b w:val="0"/>
                <w:bCs/>
                <w:sz w:val="21"/>
                <w:szCs w:val="21"/>
                <w:lang w:val="en-US" w:eastAsia="zh-CN"/>
              </w:rPr>
              <w:t>类标准，</w:t>
            </w:r>
            <w:r>
              <w:rPr>
                <w:rFonts w:hint="eastAsia" w:ascii="Times New Roman" w:hAnsi="Times New Roman" w:cs="Times New Roman"/>
                <w:b w:val="0"/>
                <w:bCs/>
                <w:sz w:val="21"/>
                <w:szCs w:val="21"/>
                <w:lang w:val="en-US" w:eastAsia="zh-CN"/>
              </w:rPr>
              <w:t>南侧</w:t>
            </w:r>
            <w:r>
              <w:rPr>
                <w:rFonts w:hint="eastAsia" w:ascii="Times New Roman" w:hAnsi="Times New Roman" w:eastAsia="宋体" w:cs="Times New Roman"/>
                <w:b w:val="0"/>
                <w:bCs/>
                <w:sz w:val="21"/>
                <w:szCs w:val="21"/>
                <w:lang w:val="en-US" w:eastAsia="zh-CN"/>
              </w:rPr>
              <w:t>执行《工业企业厂界环境噪声排放标准》（GB12348-2008）</w:t>
            </w:r>
            <w:r>
              <w:rPr>
                <w:rFonts w:hint="eastAsia" w:ascii="Times New Roman" w:hAnsi="Times New Roman" w:cs="Times New Roman"/>
                <w:b w:val="0"/>
                <w:bCs/>
                <w:sz w:val="21"/>
                <w:szCs w:val="21"/>
                <w:lang w:val="en-US" w:eastAsia="zh-CN"/>
              </w:rPr>
              <w:t>4</w:t>
            </w:r>
            <w:r>
              <w:rPr>
                <w:rFonts w:hint="eastAsia" w:ascii="Times New Roman" w:hAnsi="Times New Roman" w:eastAsia="宋体" w:cs="Times New Roman"/>
                <w:b w:val="0"/>
                <w:bCs/>
                <w:sz w:val="21"/>
                <w:szCs w:val="21"/>
                <w:lang w:val="en-US" w:eastAsia="zh-CN"/>
              </w:rPr>
              <w:t>类标准。</w:t>
            </w:r>
          </w:p>
        </w:tc>
        <w:tc>
          <w:tcPr>
            <w:tcW w:w="4198" w:type="dxa"/>
            <w:vAlign w:val="center"/>
          </w:tcPr>
          <w:p>
            <w:pPr>
              <w:spacing w:line="240" w:lineRule="auto"/>
              <w:ind w:firstLine="420" w:firstLineChars="200"/>
              <w:jc w:val="both"/>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已落实。</w:t>
            </w:r>
          </w:p>
          <w:p>
            <w:pPr>
              <w:spacing w:line="240" w:lineRule="auto"/>
              <w:ind w:firstLine="420" w:firstLineChars="200"/>
              <w:jc w:val="both"/>
              <w:rPr>
                <w:rFonts w:hint="default" w:ascii="Times New Roman" w:hAnsi="Times New Roman" w:cs="Times New Roman"/>
                <w:b/>
                <w:bCs/>
                <w:color w:val="auto"/>
                <w:sz w:val="21"/>
                <w:szCs w:val="21"/>
                <w:vertAlign w:val="baseline"/>
                <w:lang w:val="en-US" w:eastAsia="zh-CN"/>
              </w:rPr>
            </w:pPr>
            <w:r>
              <w:rPr>
                <w:rFonts w:hint="eastAsia" w:ascii="Times New Roman" w:hAnsi="Times New Roman" w:cs="Times New Roman"/>
                <w:sz w:val="21"/>
                <w:szCs w:val="21"/>
                <w:lang w:val="en-US" w:eastAsia="zh-CN"/>
              </w:rPr>
              <w:t>东、西、北</w:t>
            </w:r>
            <w:r>
              <w:rPr>
                <w:rFonts w:hint="default" w:ascii="Times New Roman" w:hAnsi="Times New Roman" w:cs="Times New Roman" w:eastAsiaTheme="minorEastAsia"/>
                <w:sz w:val="21"/>
                <w:szCs w:val="21"/>
              </w:rPr>
              <w:t>厂界昼间噪声均达到《工业企业厂界环境噪声排放标准》（GB12348-2008）中的3类区标准</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南厂界昼间噪声</w:t>
            </w:r>
            <w:r>
              <w:rPr>
                <w:rFonts w:hint="default" w:ascii="Times New Roman" w:hAnsi="Times New Roman" w:cs="Times New Roman" w:eastAsiaTheme="minorEastAsia"/>
                <w:sz w:val="21"/>
                <w:szCs w:val="21"/>
              </w:rPr>
              <w:t>达到《工业企业厂界环境噪声排放标准》（GB12348-2008）中的</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类区标准</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185" w:type="dxa"/>
            <w:vAlign w:val="center"/>
          </w:tcPr>
          <w:p>
            <w:pPr>
              <w:topLinePunct/>
              <w:snapToGrid w:val="0"/>
              <w:spacing w:line="240" w:lineRule="auto"/>
              <w:jc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固废</w:t>
            </w:r>
          </w:p>
        </w:tc>
        <w:tc>
          <w:tcPr>
            <w:tcW w:w="4500" w:type="dxa"/>
            <w:vAlign w:val="center"/>
          </w:tcPr>
          <w:p>
            <w:pPr>
              <w:pStyle w:val="25"/>
              <w:keepNext w:val="0"/>
              <w:keepLines w:val="0"/>
              <w:pageBreakBefore w:val="0"/>
              <w:widowControl w:val="0"/>
              <w:kinsoku/>
              <w:wordWrap/>
              <w:overflowPunct/>
              <w:topLinePunct w:val="0"/>
              <w:autoSpaceDE/>
              <w:autoSpaceDN/>
              <w:bidi w:val="0"/>
              <w:adjustRightInd/>
              <w:snapToGrid/>
              <w:spacing w:before="0" w:line="240" w:lineRule="auto"/>
              <w:ind w:firstLine="420" w:firstLineChars="200"/>
              <w:textAlignment w:val="auto"/>
              <w:rPr>
                <w:rFonts w:hint="default" w:ascii="Times New Roman" w:hAnsi="Times New Roman" w:cs="Times New Roman"/>
                <w:sz w:val="21"/>
                <w:szCs w:val="21"/>
                <w:lang w:val="en-US" w:eastAsia="zh-CN"/>
              </w:rPr>
            </w:pPr>
            <w:r>
              <w:rPr>
                <w:rFonts w:hint="eastAsia" w:ascii="Times New Roman" w:hAnsi="Times New Roman" w:cs="Times New Roman"/>
                <w:b w:val="0"/>
                <w:bCs w:val="0"/>
                <w:sz w:val="21"/>
                <w:szCs w:val="21"/>
                <w:lang w:val="en-US" w:eastAsia="zh-CN"/>
              </w:rPr>
              <w:t>边角料、不合格品经企业集中收集后外卖于当地回收站回收利用。厂内设置加盖垃圾箱，由当地环卫部门统一收集后作卫生填埋处理。</w:t>
            </w:r>
          </w:p>
        </w:tc>
        <w:tc>
          <w:tcPr>
            <w:tcW w:w="4290" w:type="dxa"/>
            <w:vAlign w:val="center"/>
          </w:tcPr>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eastAsia="宋体" w:cs="Times New Roman"/>
                <w:b w:val="0"/>
                <w:bCs/>
                <w:sz w:val="21"/>
                <w:szCs w:val="21"/>
                <w:lang w:val="en-US" w:eastAsia="zh-CN"/>
              </w:rPr>
              <w:t>固体废物分类处理、处置，做到“资源化、减量化、无害化”。生活垃圾由当地环卫部门统一清运处理。</w:t>
            </w:r>
          </w:p>
        </w:tc>
        <w:tc>
          <w:tcPr>
            <w:tcW w:w="41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outlineLvl w:val="9"/>
              <w:rPr>
                <w:rFonts w:hint="default" w:ascii="Times New Roman" w:hAnsi="Times New Roman" w:cs="Times New Roman"/>
                <w:color w:val="00B0F0"/>
                <w:sz w:val="21"/>
                <w:szCs w:val="21"/>
                <w:lang w:val="en-US" w:eastAsia="zh-CN"/>
              </w:rPr>
            </w:pPr>
            <w:r>
              <w:rPr>
                <w:rFonts w:hint="default" w:ascii="Times New Roman" w:hAnsi="Times New Roman" w:cs="Times New Roman"/>
                <w:color w:val="auto"/>
                <w:sz w:val="21"/>
                <w:szCs w:val="21"/>
                <w:lang w:val="en-US" w:eastAsia="zh-CN"/>
              </w:rPr>
              <w:t>本项目一般固废主要为：</w:t>
            </w:r>
            <w:r>
              <w:rPr>
                <w:rFonts w:hint="eastAsia" w:ascii="Times New Roman" w:hAnsi="Times New Roman" w:cs="Times New Roman"/>
                <w:color w:val="auto"/>
                <w:sz w:val="21"/>
                <w:szCs w:val="21"/>
                <w:lang w:val="en-US" w:eastAsia="zh-CN"/>
              </w:rPr>
              <w:t>边角料、不合格品</w:t>
            </w:r>
            <w:r>
              <w:rPr>
                <w:rFonts w:hint="default" w:ascii="Times New Roman" w:hAnsi="Times New Roman" w:cs="Times New Roman"/>
                <w:color w:val="auto"/>
                <w:sz w:val="21"/>
                <w:szCs w:val="21"/>
                <w:lang w:val="en-US" w:eastAsia="zh-CN"/>
              </w:rPr>
              <w:t>及生活垃圾</w:t>
            </w:r>
            <w:r>
              <w:rPr>
                <w:rFonts w:hint="eastAsia" w:ascii="Times New Roman" w:hAnsi="Times New Roman" w:cs="Times New Roman"/>
                <w:color w:val="auto"/>
                <w:sz w:val="21"/>
                <w:szCs w:val="21"/>
                <w:lang w:val="en-US" w:eastAsia="zh-CN"/>
              </w:rPr>
              <w:t>；危险废物为：废清洗液（废物代码900-404-06）。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边角料、不合格品经收集后外卖综合利用。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imes New Roman" w:hAnsi="Times New Roman" w:cs="Times New Roman"/>
                <w:color w:val="FF0000"/>
                <w:sz w:val="21"/>
                <w:szCs w:val="21"/>
                <w:lang w:val="en-US" w:eastAsia="zh-CN"/>
              </w:rPr>
            </w:pPr>
            <w:r>
              <w:rPr>
                <w:rFonts w:hint="eastAsia" w:ascii="Times New Roman" w:hAnsi="Times New Roman" w:cs="Times New Roman"/>
                <w:color w:val="auto"/>
                <w:sz w:val="21"/>
                <w:szCs w:val="21"/>
                <w:lang w:val="en-US" w:eastAsia="zh-CN"/>
              </w:rPr>
              <w:t>清洗废液（废物代码900-404-06）委托浙江兆山环保科技有限公司进行安全处置。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color w:val="auto"/>
                <w:sz w:val="21"/>
                <w:szCs w:val="21"/>
                <w:lang w:val="en-US" w:eastAsia="zh-CN"/>
              </w:rPr>
              <w:t>生活垃圾委托由嘉善县智果村村委会统一清运处理统一清运处理。</w:t>
            </w:r>
          </w:p>
        </w:tc>
      </w:tr>
    </w:tbl>
    <w:p>
      <w:pPr>
        <w:numPr>
          <w:ilvl w:val="0"/>
          <w:numId w:val="0"/>
        </w:numPr>
        <w:spacing w:line="360" w:lineRule="auto"/>
        <w:ind w:firstLine="482" w:firstLineChars="200"/>
        <w:jc w:val="both"/>
        <w:rPr>
          <w:rFonts w:hint="default" w:ascii="Times New Roman" w:hAnsi="Times New Roman" w:cs="Times New Roman"/>
          <w:b/>
          <w:bCs/>
          <w:color w:val="auto"/>
          <w:sz w:val="24"/>
          <w:szCs w:val="24"/>
          <w:lang w:val="en-US" w:eastAsia="zh-CN"/>
        </w:rPr>
      </w:pPr>
    </w:p>
    <w:p>
      <w:pPr>
        <w:numPr>
          <w:ilvl w:val="0"/>
          <w:numId w:val="0"/>
        </w:numPr>
        <w:spacing w:line="360" w:lineRule="auto"/>
        <w:ind w:firstLine="482" w:firstLineChars="200"/>
        <w:jc w:val="both"/>
        <w:rPr>
          <w:rFonts w:hint="default" w:ascii="Times New Roman" w:hAnsi="Times New Roman" w:cs="Times New Roman"/>
          <w:b/>
          <w:bCs/>
          <w:color w:val="auto"/>
          <w:sz w:val="24"/>
          <w:szCs w:val="24"/>
          <w:lang w:val="en-US" w:eastAsia="zh-CN"/>
        </w:rPr>
      </w:pPr>
    </w:p>
    <w:p>
      <w:pPr>
        <w:numPr>
          <w:ilvl w:val="0"/>
          <w:numId w:val="0"/>
        </w:numPr>
        <w:spacing w:line="360" w:lineRule="auto"/>
        <w:ind w:firstLine="482" w:firstLineChars="200"/>
        <w:jc w:val="both"/>
        <w:rPr>
          <w:rFonts w:hint="default" w:ascii="Times New Roman" w:hAnsi="Times New Roman" w:cs="Times New Roman"/>
          <w:b/>
          <w:bCs/>
          <w:color w:val="auto"/>
          <w:sz w:val="24"/>
          <w:szCs w:val="24"/>
          <w:lang w:val="en-US" w:eastAsia="zh-CN"/>
        </w:rPr>
      </w:pPr>
    </w:p>
    <w:p>
      <w:pPr>
        <w:numPr>
          <w:ilvl w:val="0"/>
          <w:numId w:val="0"/>
        </w:numPr>
        <w:spacing w:line="360" w:lineRule="auto"/>
        <w:jc w:val="both"/>
        <w:rPr>
          <w:rFonts w:hint="default" w:ascii="Times New Roman" w:hAnsi="Times New Roman" w:cs="Times New Roman"/>
          <w:b/>
          <w:bCs/>
          <w:color w:val="auto"/>
          <w:sz w:val="24"/>
          <w:szCs w:val="24"/>
          <w:lang w:val="en-US" w:eastAsia="zh-CN"/>
        </w:rPr>
        <w:sectPr>
          <w:headerReference r:id="rId6"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pageBreakBefore w:val="0"/>
        <w:widowControl w:val="0"/>
        <w:numPr>
          <w:ilvl w:val="0"/>
          <w:numId w:val="1"/>
        </w:numPr>
        <w:tabs>
          <w:tab w:val="left" w:pos="2730"/>
        </w:tabs>
        <w:kinsoku/>
        <w:wordWrap/>
        <w:overflowPunct/>
        <w:topLinePunct w:val="0"/>
        <w:autoSpaceDE/>
        <w:autoSpaceDN/>
        <w:bidi w:val="0"/>
        <w:adjustRightInd/>
        <w:snapToGrid/>
        <w:spacing w:before="0" w:after="0" w:line="360" w:lineRule="auto"/>
        <w:ind w:left="0" w:leftChars="0" w:firstLine="0" w:firstLineChars="0"/>
        <w:textAlignment w:val="auto"/>
        <w:rPr>
          <w:rFonts w:hint="default" w:ascii="Times New Roman" w:hAnsi="Times New Roman" w:cs="Times New Roman"/>
          <w:sz w:val="24"/>
          <w:szCs w:val="24"/>
        </w:rPr>
      </w:pPr>
      <w:bookmarkStart w:id="23" w:name="_Toc21525"/>
      <w:bookmarkStart w:id="24" w:name="_Toc515273914"/>
      <w:r>
        <w:rPr>
          <w:rFonts w:hint="default" w:ascii="Times New Roman" w:hAnsi="Times New Roman" w:cs="Times New Roman"/>
          <w:sz w:val="24"/>
          <w:szCs w:val="24"/>
        </w:rPr>
        <w:t>建设项目环评报告</w:t>
      </w:r>
      <w:r>
        <w:rPr>
          <w:rFonts w:hint="eastAsia" w:ascii="Times New Roman" w:hAnsi="Times New Roman" w:cs="Times New Roman"/>
          <w:sz w:val="24"/>
          <w:szCs w:val="24"/>
          <w:lang w:val="en-US" w:eastAsia="zh-CN"/>
        </w:rPr>
        <w:t>表</w:t>
      </w:r>
      <w:r>
        <w:rPr>
          <w:rFonts w:hint="default" w:ascii="Times New Roman" w:hAnsi="Times New Roman" w:cs="Times New Roman"/>
          <w:sz w:val="24"/>
          <w:szCs w:val="24"/>
        </w:rPr>
        <w:t>的主要结论与建议及审批部门审批决定</w:t>
      </w:r>
      <w:bookmarkEnd w:id="23"/>
      <w:bookmarkEnd w:id="24"/>
    </w:p>
    <w:p>
      <w:pPr>
        <w:pStyle w:val="3"/>
        <w:pageBreakBefore w:val="0"/>
        <w:widowControl w:val="0"/>
        <w:tabs>
          <w:tab w:val="left" w:pos="2730"/>
        </w:tabs>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25" w:name="_Toc20824"/>
      <w:bookmarkStart w:id="26" w:name="_Toc515273915"/>
      <w:r>
        <w:rPr>
          <w:rFonts w:hint="default" w:ascii="Times New Roman" w:hAnsi="Times New Roman" w:eastAsia="宋体" w:cs="Times New Roman"/>
          <w:sz w:val="24"/>
          <w:szCs w:val="24"/>
        </w:rPr>
        <w:t>5.1建设项目环评报告</w:t>
      </w:r>
      <w:r>
        <w:rPr>
          <w:rFonts w:hint="eastAsia" w:ascii="Times New Roman" w:hAnsi="Times New Roman" w:eastAsia="宋体" w:cs="Times New Roman"/>
          <w:sz w:val="24"/>
          <w:szCs w:val="24"/>
          <w:lang w:val="en-US" w:eastAsia="zh-CN"/>
        </w:rPr>
        <w:t>表</w:t>
      </w:r>
      <w:r>
        <w:rPr>
          <w:rFonts w:hint="default" w:ascii="Times New Roman" w:hAnsi="Times New Roman" w:eastAsia="宋体" w:cs="Times New Roman"/>
          <w:sz w:val="24"/>
          <w:szCs w:val="24"/>
        </w:rPr>
        <w:t>的主要结论与建议</w:t>
      </w:r>
      <w:bookmarkEnd w:id="25"/>
      <w:bookmarkEnd w:id="26"/>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5.1.1水环境影响分析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lang w:val="en-US" w:eastAsia="zh-CN"/>
        </w:rPr>
        <w:t>由现状监测资料可知，南星桥港金嘉大道公路桥断面水质除pH、DO、COD</w:t>
      </w:r>
      <w:r>
        <w:rPr>
          <w:rFonts w:hint="eastAsia" w:ascii="Times New Roman" w:hAnsi="Times New Roman" w:cs="Times New Roman"/>
          <w:b w:val="0"/>
          <w:bCs w:val="0"/>
          <w:sz w:val="24"/>
          <w:szCs w:val="24"/>
          <w:vertAlign w:val="subscript"/>
          <w:lang w:val="en-US" w:eastAsia="zh-CN"/>
        </w:rPr>
        <w:t>Cr</w:t>
      </w:r>
      <w:r>
        <w:rPr>
          <w:rFonts w:hint="eastAsia" w:ascii="Times New Roman" w:hAnsi="Times New Roman" w:cs="Times New Roman"/>
          <w:b w:val="0"/>
          <w:bCs w:val="0"/>
          <w:sz w:val="24"/>
          <w:szCs w:val="24"/>
          <w:vertAlign w:val="baseline"/>
          <w:lang w:val="en-US" w:eastAsia="zh-CN"/>
        </w:rPr>
        <w:t>、</w:t>
      </w:r>
      <w:r>
        <w:rPr>
          <w:rFonts w:hint="eastAsia" w:ascii="Times New Roman" w:hAnsi="Times New Roman" w:cs="Times New Roman"/>
          <w:b w:val="0"/>
          <w:bCs w:val="0"/>
          <w:sz w:val="24"/>
          <w:szCs w:val="24"/>
          <w:lang w:val="en-US" w:eastAsia="zh-CN"/>
        </w:rPr>
        <w:t>COD</w:t>
      </w:r>
      <w:r>
        <w:rPr>
          <w:rFonts w:hint="eastAsia" w:ascii="Times New Roman" w:hAnsi="Times New Roman" w:cs="Times New Roman"/>
          <w:b w:val="0"/>
          <w:bCs w:val="0"/>
          <w:sz w:val="24"/>
          <w:szCs w:val="24"/>
          <w:vertAlign w:val="subscript"/>
          <w:lang w:val="en-US" w:eastAsia="zh-CN"/>
        </w:rPr>
        <w:t>Mn</w:t>
      </w:r>
      <w:r>
        <w:rPr>
          <w:rFonts w:hint="eastAsia" w:ascii="Times New Roman" w:hAnsi="Times New Roman" w:cs="Times New Roman"/>
          <w:b w:val="0"/>
          <w:bCs w:val="0"/>
          <w:sz w:val="24"/>
          <w:szCs w:val="24"/>
          <w:vertAlign w:val="baseline"/>
          <w:lang w:val="en-US" w:eastAsia="zh-CN"/>
        </w:rPr>
        <w:t>外，其余各指标均不能达到III类水质要求，BOD</w:t>
      </w:r>
      <w:r>
        <w:rPr>
          <w:rFonts w:hint="eastAsia" w:ascii="Times New Roman" w:hAnsi="Times New Roman" w:cs="Times New Roman"/>
          <w:b w:val="0"/>
          <w:bCs w:val="0"/>
          <w:sz w:val="24"/>
          <w:szCs w:val="24"/>
          <w:vertAlign w:val="subscript"/>
          <w:lang w:val="en-US" w:eastAsia="zh-CN"/>
        </w:rPr>
        <w:t>5</w:t>
      </w:r>
      <w:r>
        <w:rPr>
          <w:rFonts w:hint="eastAsia" w:ascii="Times New Roman" w:hAnsi="Times New Roman" w:cs="Times New Roman"/>
          <w:b w:val="0"/>
          <w:bCs w:val="0"/>
          <w:sz w:val="24"/>
          <w:szCs w:val="24"/>
          <w:vertAlign w:val="baseline"/>
          <w:lang w:val="en-US" w:eastAsia="zh-CN"/>
        </w:rPr>
        <w:t>、氨氮、石油类、总磷最大比标准分别为1.53、3.16、1.80、2.12。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综上可知，本项目周围水体污染严重，已不能达到相应功能区III类水体标准且严重超标，水体呈现为较明显的富营养化，主要原因是嘉善地区地面水整体上受广大农业面源及部分城市居民生活污水的直排污染影响。</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5.1.2大气环境影响分析</w:t>
      </w:r>
    </w:p>
    <w:p>
      <w:pPr>
        <w:numPr>
          <w:ilvl w:val="0"/>
          <w:numId w:val="0"/>
        </w:numPr>
        <w:spacing w:line="360" w:lineRule="auto"/>
        <w:ind w:firstLine="480" w:firstLineChars="200"/>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由大气监测资料可知，本项目附近环境空气质量较好，SO</w:t>
      </w:r>
      <w:r>
        <w:rPr>
          <w:rFonts w:hint="eastAsia" w:ascii="Times New Roman" w:hAnsi="Times New Roman" w:cs="Times New Roman"/>
          <w:b w:val="0"/>
          <w:bCs w:val="0"/>
          <w:sz w:val="24"/>
          <w:szCs w:val="24"/>
          <w:vertAlign w:val="subscript"/>
          <w:lang w:val="en-US" w:eastAsia="zh-CN"/>
        </w:rPr>
        <w:t>2</w:t>
      </w:r>
      <w:r>
        <w:rPr>
          <w:rFonts w:hint="eastAsia" w:ascii="Times New Roman" w:hAnsi="Times New Roman" w:cs="Times New Roman"/>
          <w:b w:val="0"/>
          <w:bCs w:val="0"/>
          <w:sz w:val="24"/>
          <w:szCs w:val="24"/>
          <w:lang w:val="en-US" w:eastAsia="zh-CN"/>
        </w:rPr>
        <w:t>、NO</w:t>
      </w:r>
      <w:r>
        <w:rPr>
          <w:rFonts w:hint="eastAsia" w:ascii="Times New Roman" w:hAnsi="Times New Roman" w:cs="Times New Roman"/>
          <w:b w:val="0"/>
          <w:bCs w:val="0"/>
          <w:sz w:val="24"/>
          <w:szCs w:val="24"/>
          <w:vertAlign w:val="subscript"/>
          <w:lang w:val="en-US" w:eastAsia="zh-CN"/>
        </w:rPr>
        <w:t>2</w:t>
      </w:r>
      <w:r>
        <w:rPr>
          <w:rFonts w:hint="eastAsia" w:ascii="Times New Roman" w:hAnsi="Times New Roman" w:cs="Times New Roman"/>
          <w:b w:val="0"/>
          <w:bCs w:val="0"/>
          <w:sz w:val="24"/>
          <w:szCs w:val="24"/>
          <w:lang w:val="en-US" w:eastAsia="zh-CN"/>
        </w:rPr>
        <w:t>、PM</w:t>
      </w:r>
      <w:r>
        <w:rPr>
          <w:rFonts w:hint="eastAsia" w:ascii="Times New Roman" w:hAnsi="Times New Roman" w:cs="Times New Roman"/>
          <w:b w:val="0"/>
          <w:bCs w:val="0"/>
          <w:sz w:val="24"/>
          <w:szCs w:val="24"/>
          <w:vertAlign w:val="subscript"/>
          <w:lang w:val="en-US" w:eastAsia="zh-CN"/>
        </w:rPr>
        <w:t>10</w:t>
      </w:r>
      <w:r>
        <w:rPr>
          <w:rFonts w:hint="eastAsia" w:ascii="Times New Roman" w:hAnsi="Times New Roman" w:cs="Times New Roman"/>
          <w:b w:val="0"/>
          <w:bCs w:val="0"/>
          <w:sz w:val="24"/>
          <w:szCs w:val="24"/>
          <w:lang w:val="en-US" w:eastAsia="zh-CN"/>
        </w:rPr>
        <w:t>均能达到《环境空气质量标准》（GB3095-2012）中的二级标准。</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5.1.</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声环境影响分析结论</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b w:val="0"/>
          <w:bCs w:val="0"/>
          <w:sz w:val="24"/>
          <w:szCs w:val="24"/>
          <w:lang w:val="en-US" w:eastAsia="zh-CN"/>
        </w:rPr>
        <w:t>由监测结果可知，本项目所在区域环境噪声现状较好，各监测点昼间噪声监测值均能达到《声环境质量标准》（GB3096-2008）中的相应标准</w:t>
      </w:r>
      <w:r>
        <w:rPr>
          <w:rFonts w:hint="eastAsia" w:ascii="Times New Roman" w:hAnsi="Times New Roman" w:cs="Times New Roman"/>
          <w:sz w:val="24"/>
          <w:szCs w:val="24"/>
          <w:lang w:val="en-US" w:eastAsia="zh-CN"/>
        </w:rPr>
        <w:t>。</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5.1.</w:t>
      </w:r>
      <w:r>
        <w:rPr>
          <w:rFonts w:hint="default" w:ascii="Times New Roman" w:hAnsi="Times New Roman" w:cs="Times New Roman"/>
          <w:b/>
          <w:bCs/>
          <w:sz w:val="24"/>
          <w:szCs w:val="24"/>
          <w:lang w:val="en-US" w:eastAsia="zh-CN"/>
        </w:rPr>
        <w:t>4</w:t>
      </w:r>
      <w:r>
        <w:rPr>
          <w:rFonts w:hint="default" w:ascii="Times New Roman" w:hAnsi="Times New Roman" w:cs="Times New Roman"/>
          <w:b/>
          <w:bCs/>
          <w:sz w:val="24"/>
          <w:szCs w:val="24"/>
        </w:rPr>
        <w:t>固废影响分析结论</w:t>
      </w:r>
    </w:p>
    <w:p>
      <w:pPr>
        <w:pStyle w:val="25"/>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边角料、不合格品经企业集中收集后外卖于当地回收站回收利用。厂内设置加盖垃圾箱，由当地环卫部门统一收集后作卫生填埋处理。</w:t>
      </w:r>
    </w:p>
    <w:p>
      <w:pPr>
        <w:pStyle w:val="25"/>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5.1.</w:t>
      </w:r>
      <w:r>
        <w:rPr>
          <w:rFonts w:hint="eastAsia" w:ascii="Times New Roman" w:hAnsi="Times New Roman" w:eastAsia="宋体" w:cs="Times New Roman"/>
          <w:b/>
          <w:bCs/>
          <w:lang w:val="en-US" w:eastAsia="zh-CN"/>
        </w:rPr>
        <w:t>5</w:t>
      </w:r>
      <w:r>
        <w:rPr>
          <w:rFonts w:hint="default" w:ascii="Times New Roman" w:hAnsi="Times New Roman" w:eastAsia="宋体" w:cs="Times New Roman"/>
          <w:b/>
          <w:bCs/>
          <w:lang w:val="en-US" w:eastAsia="zh-CN"/>
        </w:rPr>
        <w:t xml:space="preserve"> 总结论</w:t>
      </w:r>
    </w:p>
    <w:p>
      <w:pPr>
        <w:pStyle w:val="25"/>
        <w:keepNext w:val="0"/>
        <w:keepLines w:val="0"/>
        <w:pageBreakBefore w:val="0"/>
        <w:widowControl w:val="0"/>
        <w:kinsoku/>
        <w:wordWrap/>
        <w:overflowPunct/>
        <w:topLinePunct w:val="0"/>
        <w:autoSpaceDE/>
        <w:autoSpaceDN/>
        <w:bidi w:val="0"/>
        <w:adjustRightInd/>
        <w:snapToGrid/>
        <w:spacing w:before="0" w:line="360" w:lineRule="auto"/>
        <w:ind w:firstLine="480" w:firstLineChars="200"/>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val="0"/>
          <w:bCs w:val="0"/>
          <w:color w:val="auto"/>
          <w:lang w:val="en-US" w:eastAsia="zh-CN"/>
        </w:rPr>
        <w:t>本项目位于嘉善县魏塘街道振中路88号。项目总投资4000万元，项目年产P1级、直径60毫米以上滚动轴承500万套/件力，项目受让原嘉善嘉生砼构件有限公司土地面积15473.4平方米进行新建，新建厂房、办公楼及附属用房共建筑面积16000平方米。本项目在选址建设上符合环保审批要求。只要建设单位认真落实本评价提出的各项污染防治对策，并严格执行“三同时”政策，最大限度削减污染物排放量，则该项目在该址建设，从环保角度来说是可行的。</w:t>
      </w:r>
    </w:p>
    <w:p>
      <w:pPr>
        <w:pStyle w:val="3"/>
        <w:spacing w:before="0" w:after="0" w:line="360" w:lineRule="auto"/>
        <w:rPr>
          <w:rFonts w:hint="default" w:ascii="Times New Roman" w:hAnsi="Times New Roman" w:eastAsia="宋体" w:cs="Times New Roman"/>
          <w:sz w:val="24"/>
          <w:szCs w:val="24"/>
        </w:rPr>
      </w:pPr>
      <w:bookmarkStart w:id="27" w:name="_Toc16667"/>
      <w:bookmarkStart w:id="28" w:name="_Toc515273916"/>
      <w:r>
        <w:rPr>
          <w:rFonts w:hint="default" w:ascii="Times New Roman" w:hAnsi="Times New Roman" w:eastAsia="宋体" w:cs="Times New Roman"/>
          <w:sz w:val="24"/>
          <w:szCs w:val="24"/>
        </w:rPr>
        <w:t>5.2审批部门审批决定</w:t>
      </w:r>
      <w:bookmarkEnd w:id="27"/>
      <w:bookmarkEnd w:id="28"/>
    </w:p>
    <w:p>
      <w:pPr>
        <w:spacing w:line="360" w:lineRule="auto"/>
        <w:ind w:firstLine="420"/>
        <w:rPr>
          <w:rFonts w:hint="eastAsia" w:ascii="Times New Roman" w:hAnsi="Times New Roman" w:eastAsia="宋体" w:cs="Times New Roman"/>
          <w:b w:val="0"/>
          <w:bCs/>
          <w:sz w:val="24"/>
          <w:szCs w:val="24"/>
          <w:lang w:val="en-US" w:eastAsia="zh-CN"/>
        </w:rPr>
      </w:pPr>
      <w:r>
        <w:rPr>
          <w:rFonts w:hint="eastAsia" w:ascii="Times New Roman" w:hAnsi="Times New Roman" w:cs="Times New Roman"/>
          <w:b w:val="0"/>
          <w:bCs/>
          <w:sz w:val="24"/>
          <w:szCs w:val="24"/>
          <w:lang w:val="en-US" w:eastAsia="zh-CN"/>
        </w:rPr>
        <w:t>项目选址于嘉善县魏塘街道振中路88号，占地15473.4平方米，新建建筑面积16000平方米。拟建地址东侧为嘉善嘉诚胶合板厂；南侧为善江公路；西侧为芦枯港；北侧为隔河为圣诺盟（浙江）聚氨酯家居用品有限公司。项目规模为年产P1级、直接60毫米以上滚动轴承500万套/件。</w:t>
      </w:r>
    </w:p>
    <w:p>
      <w:pPr>
        <w:spacing w:line="360" w:lineRule="auto"/>
        <w:ind w:firstLine="42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该项目符合</w:t>
      </w:r>
      <w:r>
        <w:rPr>
          <w:rFonts w:hint="eastAsia" w:ascii="Times New Roman" w:hAnsi="Times New Roman" w:cs="Times New Roman"/>
          <w:b w:val="0"/>
          <w:bCs/>
          <w:sz w:val="24"/>
          <w:szCs w:val="24"/>
          <w:lang w:val="en-US" w:eastAsia="zh-CN"/>
        </w:rPr>
        <w:t>产业政策、嘉善县魏塘街道总体规划和嘉善县生态环境功能区规划</w:t>
      </w:r>
      <w:r>
        <w:rPr>
          <w:rFonts w:hint="eastAsia" w:ascii="Times New Roman" w:hAnsi="Times New Roman" w:eastAsia="宋体" w:cs="Times New Roman"/>
          <w:b w:val="0"/>
          <w:bCs/>
          <w:sz w:val="24"/>
          <w:szCs w:val="24"/>
          <w:lang w:val="en-US" w:eastAsia="zh-CN"/>
        </w:rPr>
        <w:t>。</w:t>
      </w:r>
      <w:r>
        <w:rPr>
          <w:rFonts w:hint="eastAsia" w:ascii="Times New Roman" w:hAnsi="Times New Roman" w:cs="Times New Roman"/>
          <w:b w:val="0"/>
          <w:bCs/>
          <w:sz w:val="24"/>
          <w:szCs w:val="24"/>
          <w:lang w:val="en-US" w:eastAsia="zh-CN"/>
        </w:rPr>
        <w:t>本项目表面处理委外加工，按照本项目报告表结论，落实报告表提出的环境保护措施，污染物均能达标排放。</w:t>
      </w:r>
      <w:r>
        <w:rPr>
          <w:rFonts w:hint="eastAsia" w:ascii="Times New Roman" w:hAnsi="Times New Roman" w:eastAsia="宋体" w:cs="Times New Roman"/>
          <w:b w:val="0"/>
          <w:bCs/>
          <w:sz w:val="24"/>
          <w:szCs w:val="24"/>
          <w:lang w:val="en-US" w:eastAsia="zh-CN"/>
        </w:rPr>
        <w:t>因此，同意你公司按照报告表中所列建设项目的性质、规模、地点、使用的生产工艺、环境保护措施及下述要求进行项目建设。</w:t>
      </w:r>
    </w:p>
    <w:p>
      <w:pPr>
        <w:numPr>
          <w:ilvl w:val="0"/>
          <w:numId w:val="3"/>
        </w:numPr>
        <w:spacing w:line="360" w:lineRule="auto"/>
        <w:ind w:firstLine="42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项目建设中</w:t>
      </w:r>
      <w:r>
        <w:rPr>
          <w:rFonts w:hint="eastAsia" w:ascii="Times New Roman" w:hAnsi="Times New Roman" w:cs="Times New Roman"/>
          <w:b w:val="0"/>
          <w:bCs/>
          <w:sz w:val="24"/>
          <w:szCs w:val="24"/>
          <w:lang w:val="en-US" w:eastAsia="zh-CN"/>
        </w:rPr>
        <w:t>应</w:t>
      </w:r>
      <w:r>
        <w:rPr>
          <w:rFonts w:hint="eastAsia" w:ascii="Times New Roman" w:hAnsi="Times New Roman" w:eastAsia="宋体" w:cs="Times New Roman"/>
          <w:b w:val="0"/>
          <w:bCs/>
          <w:sz w:val="24"/>
          <w:szCs w:val="24"/>
          <w:lang w:val="en-US" w:eastAsia="zh-CN"/>
        </w:rPr>
        <w:t>重点做好以下工作：</w:t>
      </w:r>
    </w:p>
    <w:p>
      <w:pPr>
        <w:numPr>
          <w:ilvl w:val="0"/>
          <w:numId w:val="4"/>
        </w:numPr>
        <w:spacing w:line="360" w:lineRule="auto"/>
        <w:ind w:left="420" w:leftChars="0" w:firstLine="0" w:firstLineChars="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厂区雨污分流。</w:t>
      </w:r>
      <w:r>
        <w:rPr>
          <w:rFonts w:hint="eastAsia" w:ascii="Times New Roman" w:hAnsi="Times New Roman" w:cs="Times New Roman"/>
          <w:b w:val="0"/>
          <w:bCs/>
          <w:sz w:val="24"/>
          <w:szCs w:val="24"/>
          <w:lang w:val="en-US" w:eastAsia="zh-CN"/>
        </w:rPr>
        <w:t>生产废水和生活污水分别经预处理达标后排入污水管网</w:t>
      </w:r>
    </w:p>
    <w:p>
      <w:pPr>
        <w:numPr>
          <w:ilvl w:val="0"/>
          <w:numId w:val="0"/>
        </w:numPr>
        <w:spacing w:line="360" w:lineRule="auto"/>
        <w:rPr>
          <w:rFonts w:hint="eastAsia" w:ascii="Times New Roman" w:hAnsi="Times New Roman" w:eastAsia="宋体" w:cs="Times New Roman"/>
          <w:b w:val="0"/>
          <w:bCs/>
          <w:sz w:val="24"/>
          <w:szCs w:val="24"/>
          <w:lang w:val="en-US" w:eastAsia="zh-CN"/>
        </w:rPr>
      </w:pPr>
      <w:r>
        <w:rPr>
          <w:rFonts w:hint="eastAsia" w:ascii="Times New Roman" w:hAnsi="Times New Roman" w:cs="Times New Roman"/>
          <w:b w:val="0"/>
          <w:bCs/>
          <w:sz w:val="24"/>
          <w:szCs w:val="24"/>
          <w:lang w:val="en-US" w:eastAsia="zh-CN"/>
        </w:rPr>
        <w:t>送污水处理厂集中处理。废水排放执行《污水综合排放标准》（GB8978-1996）三级标准。</w:t>
      </w:r>
    </w:p>
    <w:p>
      <w:pPr>
        <w:numPr>
          <w:ilvl w:val="0"/>
          <w:numId w:val="4"/>
        </w:numPr>
        <w:spacing w:line="360" w:lineRule="auto"/>
        <w:ind w:left="420" w:leftChars="0" w:firstLine="0" w:firstLineChars="0"/>
        <w:rPr>
          <w:rFonts w:hint="default"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加强车间通风换气，</w:t>
      </w:r>
      <w:r>
        <w:rPr>
          <w:rFonts w:hint="eastAsia" w:ascii="Times New Roman" w:hAnsi="Times New Roman" w:cs="Times New Roman"/>
          <w:b w:val="0"/>
          <w:bCs/>
          <w:sz w:val="24"/>
          <w:szCs w:val="24"/>
          <w:lang w:val="en-US" w:eastAsia="zh-CN"/>
        </w:rPr>
        <w:t>淬火、回火过程中产生的有机废气经有效收集处理</w:t>
      </w:r>
    </w:p>
    <w:p>
      <w:pPr>
        <w:numPr>
          <w:ilvl w:val="0"/>
          <w:numId w:val="0"/>
        </w:numPr>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后通过15米高的排气筒排放，废气排放执行《大气污染物综合排放标准》（</w:t>
      </w:r>
      <w:r>
        <w:rPr>
          <w:rFonts w:hint="eastAsia" w:ascii="Times New Roman" w:hAnsi="Times New Roman" w:eastAsia="宋体" w:cs="Times New Roman"/>
          <w:b w:val="0"/>
          <w:bCs/>
          <w:sz w:val="24"/>
          <w:szCs w:val="24"/>
          <w:lang w:val="en-US" w:eastAsia="zh-CN"/>
        </w:rPr>
        <w:t>GB16297-1996</w:t>
      </w:r>
      <w:r>
        <w:rPr>
          <w:rFonts w:hint="eastAsia" w:ascii="Times New Roman" w:hAnsi="Times New Roman" w:cs="Times New Roman"/>
          <w:b w:val="0"/>
          <w:bCs/>
          <w:sz w:val="24"/>
          <w:szCs w:val="24"/>
          <w:lang w:val="en-US" w:eastAsia="zh-CN"/>
        </w:rPr>
        <w:t>）二级标准。根据环评计算结果，本项目不需设置大气环境防护距离，其他各类防护距离要求请业主、当地政府和有关部门按国家、卫生、安全、产业主管部门相关规定予以落实。</w:t>
      </w:r>
    </w:p>
    <w:p>
      <w:pPr>
        <w:numPr>
          <w:ilvl w:val="0"/>
          <w:numId w:val="4"/>
        </w:numPr>
        <w:spacing w:line="360" w:lineRule="auto"/>
        <w:ind w:left="420" w:leftChars="0" w:firstLine="0" w:firstLineChars="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对高噪声设备采取有效的减震、隔声、降噪措施，并加强设备的日常维</w:t>
      </w:r>
    </w:p>
    <w:p>
      <w:pPr>
        <w:numPr>
          <w:ilvl w:val="0"/>
          <w:numId w:val="0"/>
        </w:numPr>
        <w:spacing w:line="360" w:lineRule="auto"/>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护。厂界噪声执行《工业企业厂界环境噪声排放标准》（GB12348-2008）</w:t>
      </w:r>
      <w:r>
        <w:rPr>
          <w:rFonts w:hint="eastAsia" w:ascii="Times New Roman" w:hAnsi="Times New Roman" w:cs="Times New Roman"/>
          <w:b w:val="0"/>
          <w:bCs/>
          <w:sz w:val="24"/>
          <w:szCs w:val="24"/>
          <w:lang w:val="en-US" w:eastAsia="zh-CN"/>
        </w:rPr>
        <w:t>3</w:t>
      </w:r>
      <w:r>
        <w:rPr>
          <w:rFonts w:hint="eastAsia" w:ascii="Times New Roman" w:hAnsi="Times New Roman" w:eastAsia="宋体" w:cs="Times New Roman"/>
          <w:b w:val="0"/>
          <w:bCs/>
          <w:sz w:val="24"/>
          <w:szCs w:val="24"/>
          <w:lang w:val="en-US" w:eastAsia="zh-CN"/>
        </w:rPr>
        <w:t>类标准，</w:t>
      </w:r>
      <w:r>
        <w:rPr>
          <w:rFonts w:hint="eastAsia" w:ascii="Times New Roman" w:hAnsi="Times New Roman" w:cs="Times New Roman"/>
          <w:b w:val="0"/>
          <w:bCs/>
          <w:sz w:val="24"/>
          <w:szCs w:val="24"/>
          <w:lang w:val="en-US" w:eastAsia="zh-CN"/>
        </w:rPr>
        <w:t>南侧</w:t>
      </w:r>
      <w:r>
        <w:rPr>
          <w:rFonts w:hint="eastAsia" w:ascii="Times New Roman" w:hAnsi="Times New Roman" w:eastAsia="宋体" w:cs="Times New Roman"/>
          <w:b w:val="0"/>
          <w:bCs/>
          <w:sz w:val="24"/>
          <w:szCs w:val="24"/>
          <w:lang w:val="en-US" w:eastAsia="zh-CN"/>
        </w:rPr>
        <w:t>执行《工业企业厂界环境噪声排放标准》（GB12348-2008）</w:t>
      </w:r>
      <w:r>
        <w:rPr>
          <w:rFonts w:hint="eastAsia" w:ascii="Times New Roman" w:hAnsi="Times New Roman" w:cs="Times New Roman"/>
          <w:b w:val="0"/>
          <w:bCs/>
          <w:sz w:val="24"/>
          <w:szCs w:val="24"/>
          <w:lang w:val="en-US" w:eastAsia="zh-CN"/>
        </w:rPr>
        <w:t>4</w:t>
      </w:r>
      <w:r>
        <w:rPr>
          <w:rFonts w:hint="eastAsia" w:ascii="Times New Roman" w:hAnsi="Times New Roman" w:eastAsia="宋体" w:cs="Times New Roman"/>
          <w:b w:val="0"/>
          <w:bCs/>
          <w:sz w:val="24"/>
          <w:szCs w:val="24"/>
          <w:lang w:val="en-US" w:eastAsia="zh-CN"/>
        </w:rPr>
        <w:t>类标准。</w:t>
      </w:r>
    </w:p>
    <w:p>
      <w:pPr>
        <w:numPr>
          <w:ilvl w:val="0"/>
          <w:numId w:val="4"/>
        </w:numPr>
        <w:spacing w:line="360" w:lineRule="auto"/>
        <w:ind w:left="420" w:leftChars="0" w:firstLine="0" w:firstLineChars="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固体废物分类处理、处置，做到“资源化、减量化、无害化”。生活垃</w:t>
      </w:r>
    </w:p>
    <w:p>
      <w:pPr>
        <w:numPr>
          <w:ilvl w:val="0"/>
          <w:numId w:val="0"/>
        </w:numPr>
        <w:spacing w:line="360" w:lineRule="auto"/>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圾由当地环卫部门统一清运处理。</w:t>
      </w:r>
    </w:p>
    <w:p>
      <w:pPr>
        <w:numPr>
          <w:ilvl w:val="0"/>
          <w:numId w:val="4"/>
        </w:numPr>
        <w:spacing w:line="360" w:lineRule="auto"/>
        <w:ind w:left="420" w:leftChars="0" w:firstLine="0" w:firstLineChars="0"/>
        <w:rPr>
          <w:rFonts w:hint="default" w:ascii="Times New Roman" w:hAnsi="Times New Roman" w:eastAsia="宋体" w:cs="Times New Roman"/>
          <w:b w:val="0"/>
          <w:bCs/>
          <w:sz w:val="24"/>
          <w:szCs w:val="24"/>
          <w:lang w:val="en-US" w:eastAsia="zh-CN"/>
        </w:rPr>
      </w:pPr>
      <w:r>
        <w:rPr>
          <w:rFonts w:hint="eastAsia" w:ascii="Times New Roman" w:hAnsi="Times New Roman" w:cs="Times New Roman"/>
          <w:b w:val="0"/>
          <w:bCs/>
          <w:sz w:val="24"/>
          <w:szCs w:val="24"/>
          <w:lang w:val="en-US" w:eastAsia="zh-CN"/>
        </w:rPr>
        <w:t>加强施工期间的环境管理，施工期产生的废水、噪声、扬尘不得影响周</w:t>
      </w:r>
    </w:p>
    <w:p>
      <w:pPr>
        <w:numPr>
          <w:ilvl w:val="0"/>
          <w:numId w:val="0"/>
        </w:numPr>
        <w:spacing w:line="360" w:lineRule="auto"/>
        <w:rPr>
          <w:rFonts w:hint="default" w:ascii="Times New Roman" w:hAnsi="Times New Roman" w:eastAsia="宋体" w:cs="Times New Roman"/>
          <w:b w:val="0"/>
          <w:bCs/>
          <w:sz w:val="24"/>
          <w:szCs w:val="24"/>
          <w:lang w:val="en-US" w:eastAsia="zh-CN"/>
        </w:rPr>
      </w:pPr>
      <w:r>
        <w:rPr>
          <w:rFonts w:hint="eastAsia" w:ascii="Times New Roman" w:hAnsi="Times New Roman" w:cs="Times New Roman"/>
          <w:b w:val="0"/>
          <w:bCs/>
          <w:sz w:val="24"/>
          <w:szCs w:val="24"/>
          <w:lang w:val="en-US" w:eastAsia="zh-CN"/>
        </w:rPr>
        <w:t>边环境，建设中应做好生态恢复工作。</w:t>
      </w:r>
    </w:p>
    <w:p>
      <w:pPr>
        <w:numPr>
          <w:ilvl w:val="0"/>
          <w:numId w:val="3"/>
        </w:numPr>
        <w:spacing w:line="360" w:lineRule="auto"/>
        <w:ind w:left="0" w:leftChars="0" w:firstLine="420" w:firstLineChars="0"/>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严格执行环境保护设施与主体工程同时设计、同时施工、同时投入使用的“三同时”制度。项目建成后应按规定及时</w:t>
      </w:r>
      <w:r>
        <w:rPr>
          <w:rFonts w:hint="eastAsia" w:ascii="Times New Roman" w:hAnsi="Times New Roman" w:cs="Times New Roman"/>
          <w:b w:val="0"/>
          <w:bCs/>
          <w:sz w:val="24"/>
          <w:szCs w:val="24"/>
          <w:lang w:val="en-US" w:eastAsia="zh-CN"/>
        </w:rPr>
        <w:t>报我局申请</w:t>
      </w:r>
      <w:r>
        <w:rPr>
          <w:rFonts w:hint="eastAsia" w:ascii="Times New Roman" w:hAnsi="Times New Roman" w:eastAsia="宋体" w:cs="Times New Roman"/>
          <w:b w:val="0"/>
          <w:bCs/>
          <w:sz w:val="24"/>
          <w:szCs w:val="24"/>
          <w:lang w:val="en-US" w:eastAsia="zh-CN"/>
        </w:rPr>
        <w:t>环保验收，验收合格后，项目方可</w:t>
      </w:r>
      <w:r>
        <w:rPr>
          <w:rFonts w:hint="eastAsia" w:ascii="Times New Roman" w:hAnsi="Times New Roman" w:cs="Times New Roman"/>
          <w:b w:val="0"/>
          <w:bCs/>
          <w:sz w:val="24"/>
          <w:szCs w:val="24"/>
          <w:lang w:val="en-US" w:eastAsia="zh-CN"/>
        </w:rPr>
        <w:t>正式</w:t>
      </w:r>
      <w:r>
        <w:rPr>
          <w:rFonts w:hint="eastAsia" w:ascii="Times New Roman" w:hAnsi="Times New Roman" w:eastAsia="宋体" w:cs="Times New Roman"/>
          <w:b w:val="0"/>
          <w:bCs/>
          <w:sz w:val="24"/>
          <w:szCs w:val="24"/>
          <w:lang w:val="en-US" w:eastAsia="zh-CN"/>
        </w:rPr>
        <w:t>投入生产。</w:t>
      </w:r>
    </w:p>
    <w:p>
      <w:pPr>
        <w:numPr>
          <w:ilvl w:val="0"/>
          <w:numId w:val="3"/>
        </w:numPr>
        <w:spacing w:line="360" w:lineRule="auto"/>
        <w:ind w:left="0" w:leftChars="0" w:firstLine="420" w:firstLineChars="0"/>
        <w:rPr>
          <w:rFonts w:hint="default" w:ascii="Times New Roman" w:hAnsi="Times New Roman" w:cs="Times New Roman"/>
          <w:color w:val="auto"/>
          <w:sz w:val="24"/>
          <w:szCs w:val="24"/>
          <w:lang w:val="en-US" w:eastAsia="zh-CN"/>
        </w:rPr>
      </w:pPr>
      <w:r>
        <w:rPr>
          <w:rFonts w:hint="eastAsia" w:ascii="Times New Roman" w:hAnsi="Times New Roman" w:eastAsia="宋体" w:cs="Times New Roman"/>
          <w:b w:val="0"/>
          <w:bCs/>
          <w:sz w:val="24"/>
          <w:szCs w:val="24"/>
          <w:lang w:val="en-US" w:eastAsia="zh-CN"/>
        </w:rPr>
        <w:t>严格按照项目规定范围、规模和工艺组织生产。扩大生产规模、改变生产地点、生产内容须重新报批。项目现场的环境保护监督管理由我局魏塘环保所</w:t>
      </w:r>
      <w:r>
        <w:rPr>
          <w:rFonts w:hint="eastAsia" w:ascii="Times New Roman" w:hAnsi="Times New Roman" w:cs="Times New Roman"/>
          <w:b w:val="0"/>
          <w:bCs/>
          <w:sz w:val="24"/>
          <w:szCs w:val="24"/>
          <w:lang w:val="en-US" w:eastAsia="zh-CN"/>
        </w:rPr>
        <w:t>负责</w:t>
      </w:r>
      <w:r>
        <w:rPr>
          <w:rFonts w:hint="eastAsia" w:ascii="Times New Roman" w:hAnsi="Times New Roman" w:eastAsia="宋体" w:cs="Times New Roman"/>
          <w:b w:val="0"/>
          <w:bCs/>
          <w:sz w:val="24"/>
          <w:szCs w:val="24"/>
          <w:lang w:val="en-US" w:eastAsia="zh-CN"/>
        </w:rPr>
        <w:t>督促落实。</w:t>
      </w:r>
    </w:p>
    <w:p>
      <w:pPr>
        <w:numPr>
          <w:ilvl w:val="0"/>
          <w:numId w:val="0"/>
        </w:numPr>
        <w:spacing w:line="360" w:lineRule="auto"/>
        <w:jc w:val="both"/>
        <w:rPr>
          <w:rFonts w:hint="default" w:ascii="Times New Roman" w:hAnsi="Times New Roman" w:cs="Times New Roman"/>
          <w:color w:val="auto"/>
          <w:sz w:val="24"/>
          <w:szCs w:val="24"/>
          <w:lang w:val="en-US" w:eastAsia="zh-CN"/>
        </w:rPr>
      </w:pPr>
    </w:p>
    <w:p>
      <w:pPr>
        <w:numPr>
          <w:ilvl w:val="0"/>
          <w:numId w:val="0"/>
        </w:numPr>
        <w:spacing w:line="360" w:lineRule="auto"/>
        <w:jc w:val="both"/>
        <w:rPr>
          <w:rFonts w:hint="default" w:ascii="Times New Roman" w:hAnsi="Times New Roman" w:cs="Times New Roman"/>
          <w:color w:val="auto"/>
          <w:sz w:val="24"/>
          <w:szCs w:val="24"/>
          <w:lang w:val="en-US" w:eastAsia="zh-CN"/>
        </w:rPr>
      </w:pPr>
    </w:p>
    <w:p>
      <w:pPr>
        <w:numPr>
          <w:ilvl w:val="0"/>
          <w:numId w:val="0"/>
        </w:numPr>
        <w:spacing w:line="360" w:lineRule="auto"/>
        <w:jc w:val="both"/>
        <w:rPr>
          <w:rFonts w:hint="default" w:ascii="Times New Roman" w:hAnsi="Times New Roman" w:cs="Times New Roman"/>
          <w:color w:val="auto"/>
          <w:sz w:val="24"/>
          <w:szCs w:val="24"/>
          <w:lang w:val="en-US" w:eastAsia="zh-CN"/>
        </w:rPr>
      </w:pPr>
    </w:p>
    <w:p>
      <w:pPr>
        <w:pStyle w:val="2"/>
        <w:numPr>
          <w:ilvl w:val="0"/>
          <w:numId w:val="1"/>
        </w:numPr>
        <w:spacing w:before="0" w:after="0" w:line="360" w:lineRule="auto"/>
        <w:ind w:left="0" w:leftChars="0" w:firstLine="0" w:firstLineChars="0"/>
        <w:rPr>
          <w:rFonts w:hint="default" w:ascii="Times New Roman" w:hAnsi="Times New Roman" w:cs="Times New Roman"/>
          <w:color w:val="auto"/>
          <w:sz w:val="24"/>
          <w:szCs w:val="24"/>
        </w:rPr>
      </w:pPr>
      <w:bookmarkStart w:id="29" w:name="_Toc515273917"/>
      <w:bookmarkStart w:id="30" w:name="_Toc10717"/>
      <w:r>
        <w:rPr>
          <w:rFonts w:hint="default" w:ascii="Times New Roman" w:hAnsi="Times New Roman" w:cs="Times New Roman"/>
          <w:color w:val="auto"/>
          <w:sz w:val="24"/>
          <w:szCs w:val="24"/>
        </w:rPr>
        <w:t>验收执行标准</w:t>
      </w:r>
      <w:bookmarkEnd w:id="29"/>
      <w:bookmarkEnd w:id="30"/>
    </w:p>
    <w:p>
      <w:pPr>
        <w:pStyle w:val="3"/>
        <w:spacing w:before="0" w:after="0" w:line="360" w:lineRule="auto"/>
        <w:rPr>
          <w:rFonts w:hint="default" w:ascii="Times New Roman" w:hAnsi="Times New Roman" w:cs="Times New Roman" w:eastAsiaTheme="minorEastAsia"/>
          <w:kern w:val="44"/>
          <w:sz w:val="24"/>
          <w:szCs w:val="24"/>
          <w:lang w:val="en-US" w:eastAsia="zh-CN"/>
        </w:rPr>
      </w:pPr>
      <w:bookmarkStart w:id="31" w:name="_Toc18271"/>
      <w:bookmarkStart w:id="32" w:name="_Toc15205"/>
      <w:r>
        <w:rPr>
          <w:rFonts w:hint="eastAsia" w:ascii="Times New Roman" w:hAnsi="Times New Roman" w:cs="Times New Roman" w:eastAsiaTheme="minorEastAsia"/>
          <w:kern w:val="44"/>
          <w:sz w:val="24"/>
          <w:szCs w:val="24"/>
          <w:lang w:val="en-US" w:eastAsia="zh-CN"/>
        </w:rPr>
        <w:t>6.1</w:t>
      </w:r>
      <w:bookmarkEnd w:id="31"/>
      <w:r>
        <w:rPr>
          <w:rFonts w:hint="eastAsia" w:ascii="Times New Roman" w:hAnsi="Times New Roman" w:cs="Times New Roman" w:eastAsiaTheme="minorEastAsia"/>
          <w:kern w:val="44"/>
          <w:sz w:val="24"/>
          <w:szCs w:val="24"/>
          <w:lang w:val="en-US" w:eastAsia="zh-CN"/>
        </w:rPr>
        <w:t>废水排放标准</w:t>
      </w:r>
      <w:bookmarkEnd w:id="32"/>
    </w:p>
    <w:p>
      <w:pPr>
        <w:spacing w:line="360" w:lineRule="auto"/>
        <w:ind w:firstLine="480" w:firstLineChars="200"/>
        <w:rPr>
          <w:rFonts w:hint="eastAsia" w:ascii="Times New Roman" w:hAnsi="Times New Roman" w:cs="Times New Roman"/>
          <w:sz w:val="24"/>
          <w:szCs w:val="24"/>
          <w:lang w:eastAsia="zh-CN"/>
        </w:rPr>
      </w:pPr>
      <w:r>
        <w:rPr>
          <w:rFonts w:hint="default" w:ascii="Times New Roman" w:hAnsi="Times New Roman" w:cs="Times New Roman"/>
          <w:sz w:val="24"/>
          <w:szCs w:val="24"/>
        </w:rPr>
        <w:t>本项目实施后</w:t>
      </w:r>
      <w:r>
        <w:rPr>
          <w:rFonts w:hint="eastAsia" w:ascii="Times New Roman" w:hAnsi="Times New Roman" w:cs="Times New Roman"/>
          <w:sz w:val="24"/>
          <w:szCs w:val="24"/>
          <w:lang w:val="en-US" w:eastAsia="zh-CN"/>
        </w:rPr>
        <w:t>生活污水经</w:t>
      </w:r>
      <w:r>
        <w:rPr>
          <w:rFonts w:hint="default" w:ascii="Times New Roman" w:hAnsi="Times New Roman" w:cs="Times New Roman"/>
          <w:sz w:val="24"/>
          <w:szCs w:val="24"/>
          <w:lang w:val="en-US" w:eastAsia="zh-CN"/>
        </w:rPr>
        <w:t>化粪池</w:t>
      </w:r>
      <w:r>
        <w:rPr>
          <w:rFonts w:hint="eastAsia" w:ascii="Times New Roman" w:hAnsi="Times New Roman" w:cs="Times New Roman"/>
          <w:sz w:val="24"/>
          <w:szCs w:val="24"/>
          <w:lang w:val="en-US" w:eastAsia="zh-CN"/>
        </w:rPr>
        <w:t>、隔油池</w:t>
      </w:r>
      <w:r>
        <w:rPr>
          <w:rFonts w:hint="default" w:ascii="Times New Roman" w:hAnsi="Times New Roman" w:cs="Times New Roman"/>
          <w:sz w:val="24"/>
          <w:szCs w:val="24"/>
        </w:rPr>
        <w:t>预处理达到纳管标准后，</w:t>
      </w:r>
      <w:r>
        <w:rPr>
          <w:rFonts w:hint="default" w:ascii="Times New Roman" w:hAnsi="Times New Roman" w:cs="Times New Roman"/>
          <w:sz w:val="24"/>
          <w:szCs w:val="24"/>
          <w:lang w:val="en-US" w:eastAsia="zh-CN"/>
        </w:rPr>
        <w:t>排</w:t>
      </w:r>
      <w:r>
        <w:rPr>
          <w:rFonts w:hint="default" w:ascii="Times New Roman" w:hAnsi="Times New Roman" w:cs="Times New Roman"/>
          <w:sz w:val="24"/>
          <w:szCs w:val="24"/>
        </w:rPr>
        <w:t>入</w:t>
      </w:r>
      <w:r>
        <w:rPr>
          <w:rFonts w:hint="eastAsia" w:ascii="Times New Roman" w:hAnsi="Times New Roman" w:cs="Times New Roman"/>
          <w:sz w:val="24"/>
          <w:szCs w:val="24"/>
          <w:lang w:val="en-US" w:eastAsia="zh-CN"/>
        </w:rPr>
        <w:t>嘉善县姚庄镇污水管网，最终送至</w:t>
      </w:r>
      <w:r>
        <w:rPr>
          <w:rFonts w:hint="eastAsia" w:ascii="Times New Roman" w:hAnsi="Times New Roman" w:cs="Times New Roman"/>
          <w:bCs/>
          <w:sz w:val="24"/>
          <w:lang w:val="en-US" w:eastAsia="zh-CN"/>
        </w:rPr>
        <w:t>姚庄污水处理</w:t>
      </w:r>
      <w:r>
        <w:rPr>
          <w:rFonts w:hint="default" w:ascii="Times New Roman" w:hAnsi="Times New Roman" w:cs="Times New Roman"/>
          <w:bCs/>
          <w:sz w:val="24"/>
          <w:lang w:val="en-US" w:eastAsia="zh-CN"/>
        </w:rPr>
        <w:t>厂</w:t>
      </w:r>
      <w:r>
        <w:rPr>
          <w:rFonts w:hint="default" w:ascii="Times New Roman" w:hAnsi="Times New Roman" w:cs="Times New Roman"/>
          <w:sz w:val="24"/>
          <w:szCs w:val="24"/>
        </w:rPr>
        <w:t>处理达标后</w:t>
      </w:r>
      <w:r>
        <w:rPr>
          <w:rFonts w:hint="eastAsia" w:ascii="Times New Roman" w:hAnsi="Times New Roman" w:cs="Times New Roman"/>
          <w:sz w:val="24"/>
          <w:szCs w:val="24"/>
          <w:lang w:val="en-US" w:eastAsia="zh-CN"/>
        </w:rPr>
        <w:t>排放</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废水的纳管标准执行《污水综合排放标准》（GB8978-1996）表4中的三级标准，其中NH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TP</w:t>
      </w:r>
      <w:r>
        <w:rPr>
          <w:rFonts w:hint="default" w:ascii="Times New Roman" w:hAnsi="Times New Roman" w:cs="Times New Roman"/>
          <w:sz w:val="24"/>
          <w:szCs w:val="24"/>
        </w:rPr>
        <w:t>入网标准执行《工业企业废水氮、磷污染物间接排放限值》（DB33/887-2013），</w:t>
      </w:r>
      <w:r>
        <w:rPr>
          <w:rFonts w:hint="eastAsia" w:ascii="Times New Roman" w:hAnsi="Times New Roman" w:cs="Times New Roman"/>
          <w:bCs/>
          <w:sz w:val="24"/>
          <w:lang w:val="en-US" w:eastAsia="zh-CN"/>
        </w:rPr>
        <w:t>姚庄污水处理厂</w:t>
      </w:r>
      <w:r>
        <w:rPr>
          <w:rFonts w:hint="default" w:ascii="Times New Roman" w:hAnsi="Times New Roman" w:cs="Times New Roman"/>
          <w:sz w:val="24"/>
          <w:szCs w:val="24"/>
        </w:rPr>
        <w:t>的排放执行《</w:t>
      </w:r>
      <w:r>
        <w:rPr>
          <w:rFonts w:hint="default" w:ascii="Times New Roman" w:hAnsi="Times New Roman" w:cs="Times New Roman"/>
          <w:sz w:val="24"/>
          <w:szCs w:val="24"/>
          <w:lang w:val="en-US" w:eastAsia="zh-CN"/>
        </w:rPr>
        <w:t>城镇污水处理厂污染物排放标准</w:t>
      </w:r>
      <w:r>
        <w:rPr>
          <w:rFonts w:hint="default" w:ascii="Times New Roman" w:hAnsi="Times New Roman" w:cs="Times New Roman"/>
          <w:sz w:val="24"/>
          <w:szCs w:val="24"/>
        </w:rPr>
        <w:t>》（GB</w:t>
      </w:r>
      <w:r>
        <w:rPr>
          <w:rFonts w:hint="default" w:ascii="Times New Roman" w:hAnsi="Times New Roman" w:cs="Times New Roman"/>
          <w:sz w:val="24"/>
          <w:szCs w:val="24"/>
          <w:lang w:val="en-US" w:eastAsia="zh-CN"/>
        </w:rPr>
        <w:t>18918</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2002</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表1</w:t>
      </w:r>
      <w:r>
        <w:rPr>
          <w:rFonts w:hint="default" w:ascii="Times New Roman" w:hAnsi="Times New Roman" w:cs="Times New Roman"/>
          <w:sz w:val="24"/>
          <w:szCs w:val="24"/>
        </w:rPr>
        <w:t>中的</w:t>
      </w:r>
      <w:r>
        <w:rPr>
          <w:rFonts w:hint="default" w:ascii="Times New Roman" w:hAnsi="Times New Roman" w:cs="Times New Roman"/>
          <w:sz w:val="24"/>
          <w:szCs w:val="24"/>
          <w:lang w:val="en-US" w:eastAsia="zh-CN"/>
        </w:rPr>
        <w:t>一</w:t>
      </w:r>
      <w:r>
        <w:rPr>
          <w:rFonts w:hint="default" w:ascii="Times New Roman" w:hAnsi="Times New Roman" w:cs="Times New Roman"/>
          <w:sz w:val="24"/>
          <w:szCs w:val="24"/>
        </w:rPr>
        <w:t>级标准</w:t>
      </w:r>
      <w:r>
        <w:rPr>
          <w:rFonts w:hint="default" w:ascii="Times New Roman" w:hAnsi="Times New Roman" w:cs="Times New Roman"/>
          <w:sz w:val="24"/>
          <w:szCs w:val="24"/>
          <w:lang w:val="en-US" w:eastAsia="zh-CN"/>
        </w:rPr>
        <w:t>A标准</w:t>
      </w:r>
      <w:r>
        <w:rPr>
          <w:rFonts w:hint="default" w:ascii="Times New Roman" w:hAnsi="Times New Roman" w:cs="Times New Roman"/>
          <w:sz w:val="24"/>
          <w:szCs w:val="24"/>
        </w:rPr>
        <w:t>。具体指标见表 6-</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bCs/>
          <w:sz w:val="3"/>
          <w:szCs w:val="3"/>
        </w:rPr>
      </w:pPr>
      <w:r>
        <w:rPr>
          <w:rFonts w:hint="default" w:ascii="Times New Roman" w:hAnsi="Times New Roman" w:cs="Times New Roman"/>
          <w:b/>
          <w:bCs/>
        </w:rPr>
        <w:t>表6-</w:t>
      </w:r>
      <w:r>
        <w:rPr>
          <w:rFonts w:hint="eastAsia" w:ascii="Times New Roman" w:hAnsi="Times New Roman" w:cs="Times New Roman"/>
          <w:b/>
          <w:bCs/>
          <w:lang w:val="en-US" w:eastAsia="zh-CN"/>
        </w:rPr>
        <w:t>1</w:t>
      </w:r>
      <w:r>
        <w:rPr>
          <w:rFonts w:hint="default" w:ascii="Times New Roman" w:hAnsi="Times New Roman" w:cs="Times New Roman"/>
          <w:b/>
          <w:bCs/>
        </w:rPr>
        <w:t xml:space="preserve">  水污染物入网标准（单位：mg/L，pH除外）</w:t>
      </w:r>
    </w:p>
    <w:tbl>
      <w:tblPr>
        <w:tblStyle w:val="16"/>
        <w:tblW w:w="8504" w:type="dxa"/>
        <w:jc w:val="center"/>
        <w:tblLayout w:type="fixed"/>
        <w:tblCellMar>
          <w:top w:w="0" w:type="dxa"/>
          <w:left w:w="0" w:type="dxa"/>
          <w:bottom w:w="0" w:type="dxa"/>
          <w:right w:w="0" w:type="dxa"/>
        </w:tblCellMar>
      </w:tblPr>
      <w:tblGrid>
        <w:gridCol w:w="1372"/>
        <w:gridCol w:w="1019"/>
        <w:gridCol w:w="1019"/>
        <w:gridCol w:w="1019"/>
        <w:gridCol w:w="1019"/>
        <w:gridCol w:w="1018"/>
        <w:gridCol w:w="1019"/>
        <w:gridCol w:w="1019"/>
      </w:tblGrid>
      <w:tr>
        <w:tblPrEx>
          <w:tblCellMar>
            <w:top w:w="0" w:type="dxa"/>
            <w:left w:w="0" w:type="dxa"/>
            <w:bottom w:w="0" w:type="dxa"/>
            <w:right w:w="0" w:type="dxa"/>
          </w:tblCellMar>
        </w:tblPrEx>
        <w:trPr>
          <w:trHeight w:val="329" w:hRule="exact"/>
          <w:jc w:val="center"/>
        </w:trPr>
        <w:tc>
          <w:tcPr>
            <w:tcW w:w="137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标 准</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pH</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COD</w:t>
            </w:r>
            <w:r>
              <w:rPr>
                <w:rFonts w:hint="default" w:ascii="Times New Roman" w:hAnsi="Times New Roman" w:cs="Times New Roman"/>
                <w:vertAlign w:val="subscript"/>
              </w:rPr>
              <w:t>Cr</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BOD</w:t>
            </w:r>
            <w:r>
              <w:rPr>
                <w:rFonts w:hint="default" w:ascii="Times New Roman" w:hAnsi="Times New Roman" w:cs="Times New Roman"/>
                <w:vertAlign w:val="subscript"/>
              </w:rPr>
              <w:t>5</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SS</w:t>
            </w:r>
          </w:p>
        </w:tc>
        <w:tc>
          <w:tcPr>
            <w:tcW w:w="101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TP</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动植物油</w:t>
            </w:r>
          </w:p>
        </w:tc>
      </w:tr>
      <w:tr>
        <w:tblPrEx>
          <w:tblCellMar>
            <w:top w:w="0" w:type="dxa"/>
            <w:left w:w="0" w:type="dxa"/>
            <w:bottom w:w="0" w:type="dxa"/>
            <w:right w:w="0" w:type="dxa"/>
          </w:tblCellMar>
        </w:tblPrEx>
        <w:trPr>
          <w:trHeight w:val="329" w:hRule="exact"/>
          <w:jc w:val="center"/>
        </w:trPr>
        <w:tc>
          <w:tcPr>
            <w:tcW w:w="137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入网标准</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6~9</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≤500</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≤300</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≤400</w:t>
            </w:r>
          </w:p>
        </w:tc>
        <w:tc>
          <w:tcPr>
            <w:tcW w:w="101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≤35*</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w:t>
            </w:r>
            <w:r>
              <w:rPr>
                <w:rFonts w:hint="default" w:ascii="Times New Roman" w:hAnsi="Times New Roman" w:cs="Times New Roman"/>
                <w:lang w:val="en-US" w:eastAsia="zh-CN"/>
              </w:rPr>
              <w:t>8</w:t>
            </w:r>
            <w:r>
              <w:rPr>
                <w:rFonts w:hint="default" w:ascii="Times New Roman" w:hAnsi="Times New Roman" w:cs="Times New Roman"/>
              </w:rPr>
              <w:t>*</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100</w:t>
            </w:r>
          </w:p>
        </w:tc>
      </w:tr>
      <w:tr>
        <w:tblPrEx>
          <w:tblCellMar>
            <w:top w:w="0" w:type="dxa"/>
            <w:left w:w="0" w:type="dxa"/>
            <w:bottom w:w="0" w:type="dxa"/>
            <w:right w:w="0" w:type="dxa"/>
          </w:tblCellMar>
        </w:tblPrEx>
        <w:trPr>
          <w:trHeight w:val="329" w:hRule="exact"/>
          <w:jc w:val="center"/>
        </w:trPr>
        <w:tc>
          <w:tcPr>
            <w:tcW w:w="137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排放标准</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lang w:val="en-US" w:eastAsia="zh-CN"/>
              </w:rPr>
              <w:t>~</w:t>
            </w:r>
            <w:r>
              <w:rPr>
                <w:rFonts w:hint="default" w:ascii="Times New Roman" w:hAnsi="Times New Roman" w:cs="Times New Roman"/>
              </w:rPr>
              <w:t>9</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w:t>
            </w:r>
            <w:r>
              <w:rPr>
                <w:rFonts w:hint="default" w:ascii="Times New Roman" w:hAnsi="Times New Roman" w:cs="Times New Roman"/>
                <w:lang w:val="en-US" w:eastAsia="zh-CN"/>
              </w:rPr>
              <w:t>50</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0</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0</w:t>
            </w:r>
          </w:p>
        </w:tc>
        <w:tc>
          <w:tcPr>
            <w:tcW w:w="101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w:t>
            </w:r>
            <w:r>
              <w:rPr>
                <w:rFonts w:hint="default" w:ascii="Times New Roman" w:hAnsi="Times New Roman" w:cs="Times New Roman"/>
                <w:lang w:val="en-US" w:eastAsia="zh-CN"/>
              </w:rPr>
              <w:t>5</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w:t>
            </w:r>
            <w:r>
              <w:rPr>
                <w:rFonts w:hint="default" w:ascii="Times New Roman" w:hAnsi="Times New Roman" w:cs="Times New Roman"/>
                <w:lang w:val="en-US" w:eastAsia="zh-CN"/>
              </w:rPr>
              <w:t>0.5</w:t>
            </w:r>
          </w:p>
        </w:tc>
        <w:tc>
          <w:tcPr>
            <w:tcW w:w="101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p>
    <w:p>
      <w:pPr>
        <w:pStyle w:val="3"/>
        <w:spacing w:before="0" w:after="0" w:line="360" w:lineRule="auto"/>
        <w:rPr>
          <w:rFonts w:hint="default" w:ascii="Times New Roman" w:hAnsi="Times New Roman" w:cs="Times New Roman" w:eastAsiaTheme="minorEastAsia"/>
          <w:kern w:val="44"/>
          <w:sz w:val="24"/>
          <w:szCs w:val="24"/>
          <w:lang w:val="en-US" w:eastAsia="zh-CN"/>
        </w:rPr>
      </w:pPr>
      <w:bookmarkStart w:id="33" w:name="_Toc1946"/>
      <w:bookmarkStart w:id="34" w:name="_Toc7826"/>
      <w:r>
        <w:rPr>
          <w:rFonts w:hint="default" w:ascii="Times New Roman" w:hAnsi="Times New Roman" w:cs="Times New Roman" w:eastAsiaTheme="minorEastAsia"/>
          <w:kern w:val="44"/>
          <w:sz w:val="24"/>
          <w:szCs w:val="24"/>
          <w:lang w:val="en-US" w:eastAsia="zh-CN"/>
        </w:rPr>
        <w:t>6.</w:t>
      </w:r>
      <w:r>
        <w:rPr>
          <w:rFonts w:hint="eastAsia" w:ascii="Times New Roman" w:hAnsi="Times New Roman" w:cs="Times New Roman" w:eastAsiaTheme="minorEastAsia"/>
          <w:kern w:val="44"/>
          <w:sz w:val="24"/>
          <w:szCs w:val="24"/>
          <w:lang w:val="en-US" w:eastAsia="zh-CN"/>
        </w:rPr>
        <w:t>2</w:t>
      </w:r>
      <w:r>
        <w:rPr>
          <w:rFonts w:hint="default" w:ascii="Times New Roman" w:hAnsi="Times New Roman" w:cs="Times New Roman" w:eastAsiaTheme="minorEastAsia"/>
          <w:kern w:val="44"/>
          <w:sz w:val="24"/>
          <w:szCs w:val="24"/>
          <w:lang w:val="en-US" w:eastAsia="zh-CN"/>
        </w:rPr>
        <w:t>废气污染物排放标准</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非甲烷总烃的</w:t>
      </w:r>
      <w:r>
        <w:rPr>
          <w:rFonts w:hint="default" w:ascii="Times New Roman" w:hAnsi="Times New Roman" w:cs="Times New Roman"/>
          <w:sz w:val="24"/>
          <w:szCs w:val="24"/>
        </w:rPr>
        <w:t>排放执行</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大气污染物综合排放标准</w:t>
      </w:r>
      <w:r>
        <w:rPr>
          <w:rFonts w:hint="default" w:ascii="Times New Roman" w:hAnsi="Times New Roman" w:cs="Times New Roman"/>
          <w:sz w:val="24"/>
          <w:szCs w:val="24"/>
          <w:lang w:val="en-US" w:eastAsia="zh-CN"/>
        </w:rPr>
        <w:t>》（GB</w:t>
      </w:r>
      <w:r>
        <w:rPr>
          <w:rFonts w:hint="eastAsia" w:ascii="Times New Roman" w:hAnsi="Times New Roman" w:cs="Times New Roman"/>
          <w:sz w:val="24"/>
          <w:szCs w:val="24"/>
          <w:lang w:val="en-US" w:eastAsia="zh-CN"/>
        </w:rPr>
        <w:t>16297-1996</w:t>
      </w:r>
      <w:r>
        <w:rPr>
          <w:rFonts w:hint="default" w:ascii="Times New Roman" w:hAnsi="Times New Roman" w:cs="Times New Roman"/>
          <w:sz w:val="24"/>
          <w:szCs w:val="24"/>
          <w:lang w:val="en-US" w:eastAsia="zh-CN"/>
        </w:rPr>
        <w:t>）表</w:t>
      </w:r>
      <w:r>
        <w:rPr>
          <w:rFonts w:hint="eastAsia" w:ascii="Times New Roman" w:hAnsi="Times New Roman" w:cs="Times New Roman"/>
          <w:sz w:val="24"/>
          <w:szCs w:val="24"/>
          <w:lang w:val="en-US" w:eastAsia="zh-CN"/>
        </w:rPr>
        <w:t>2中的二级标准。</w:t>
      </w:r>
      <w:r>
        <w:rPr>
          <w:rFonts w:hint="default" w:ascii="Times New Roman" w:hAnsi="Times New Roman" w:cs="Times New Roman"/>
          <w:sz w:val="24"/>
          <w:szCs w:val="24"/>
          <w:lang w:val="en-US" w:eastAsia="zh-CN"/>
        </w:rPr>
        <w:t>具体标准见表6-</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表6-</w:t>
      </w: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lang w:val="en-US" w:eastAsia="zh-CN"/>
        </w:rPr>
        <w:t xml:space="preserve">  </w:t>
      </w:r>
      <w:r>
        <w:rPr>
          <w:rFonts w:hint="eastAsia" w:ascii="Times New Roman" w:hAnsi="Times New Roman" w:eastAsia="宋体" w:cs="Times New Roman"/>
          <w:b/>
          <w:bCs/>
          <w:sz w:val="21"/>
          <w:szCs w:val="21"/>
          <w:lang w:val="en-US" w:eastAsia="zh-CN"/>
        </w:rPr>
        <w:t>大气污染物综合排放标准</w:t>
      </w:r>
    </w:p>
    <w:tbl>
      <w:tblPr>
        <w:tblStyle w:val="17"/>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235"/>
        <w:gridCol w:w="1440"/>
        <w:gridCol w:w="1050"/>
        <w:gridCol w:w="201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81" w:type="dxa"/>
            <w:vMerge w:val="restart"/>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污染物</w:t>
            </w:r>
          </w:p>
        </w:tc>
        <w:tc>
          <w:tcPr>
            <w:tcW w:w="1235" w:type="dxa"/>
            <w:vMerge w:val="restart"/>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最高允许排放浓度（mg/m</w:t>
            </w:r>
            <w:r>
              <w:rPr>
                <w:rFonts w:hint="eastAsia" w:ascii="Times New Roman" w:hAnsi="Times New Roman" w:cs="Times New Roman" w:eastAsiaTheme="minorEastAsia"/>
                <w:b w:val="0"/>
                <w:bCs w:val="0"/>
                <w:sz w:val="21"/>
                <w:szCs w:val="21"/>
                <w:vertAlign w:val="superscript"/>
                <w:lang w:val="en-US" w:eastAsia="zh-CN"/>
              </w:rPr>
              <w:t>3</w:t>
            </w:r>
            <w:r>
              <w:rPr>
                <w:rFonts w:hint="eastAsia" w:ascii="Times New Roman" w:hAnsi="Times New Roman" w:cs="Times New Roman"/>
                <w:b w:val="0"/>
                <w:bCs w:val="0"/>
                <w:sz w:val="21"/>
                <w:szCs w:val="21"/>
                <w:vertAlign w:val="baseline"/>
                <w:lang w:val="en-US" w:eastAsia="zh-CN"/>
              </w:rPr>
              <w:t>）</w:t>
            </w:r>
          </w:p>
        </w:tc>
        <w:tc>
          <w:tcPr>
            <w:tcW w:w="2490" w:type="dxa"/>
            <w:gridSpan w:val="2"/>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最高允许排放速率（kg/h）</w:t>
            </w:r>
          </w:p>
        </w:tc>
        <w:tc>
          <w:tcPr>
            <w:tcW w:w="3298" w:type="dxa"/>
            <w:gridSpan w:val="2"/>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无组织排放监控浓度限值（mg/m</w:t>
            </w:r>
            <w:r>
              <w:rPr>
                <w:rFonts w:hint="eastAsia" w:ascii="Times New Roman" w:hAnsi="Times New Roman" w:cs="Times New Roman" w:eastAsiaTheme="minorEastAsia"/>
                <w:b w:val="0"/>
                <w:bCs w:val="0"/>
                <w:sz w:val="21"/>
                <w:szCs w:val="21"/>
                <w:vertAlign w:val="superscript"/>
                <w:lang w:val="en-US" w:eastAsia="zh-CN"/>
              </w:rPr>
              <w:t>3</w:t>
            </w:r>
            <w:r>
              <w:rPr>
                <w:rFonts w:hint="eastAsia" w:ascii="Times New Roman" w:hAnsi="Times New Roman"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1" w:type="dxa"/>
            <w:vMerge w:val="continue"/>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p>
        </w:tc>
        <w:tc>
          <w:tcPr>
            <w:tcW w:w="1235" w:type="dxa"/>
            <w:vMerge w:val="continue"/>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p>
        </w:tc>
        <w:tc>
          <w:tcPr>
            <w:tcW w:w="144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排气筒（m）</w:t>
            </w:r>
          </w:p>
        </w:tc>
        <w:tc>
          <w:tcPr>
            <w:tcW w:w="105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二级</w:t>
            </w:r>
          </w:p>
        </w:tc>
        <w:tc>
          <w:tcPr>
            <w:tcW w:w="201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监控点</w:t>
            </w:r>
          </w:p>
        </w:tc>
        <w:tc>
          <w:tcPr>
            <w:tcW w:w="1288"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1"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非甲烷总烃</w:t>
            </w:r>
          </w:p>
        </w:tc>
        <w:tc>
          <w:tcPr>
            <w:tcW w:w="1235"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120</w:t>
            </w:r>
          </w:p>
        </w:tc>
        <w:tc>
          <w:tcPr>
            <w:tcW w:w="144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w:t>
            </w:r>
          </w:p>
        </w:tc>
        <w:tc>
          <w:tcPr>
            <w:tcW w:w="105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10</w:t>
            </w:r>
          </w:p>
        </w:tc>
        <w:tc>
          <w:tcPr>
            <w:tcW w:w="2010"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周界外浓度最高点</w:t>
            </w:r>
          </w:p>
        </w:tc>
        <w:tc>
          <w:tcPr>
            <w:tcW w:w="1288" w:type="dxa"/>
            <w:noWrap w:val="0"/>
            <w:vAlign w:val="center"/>
          </w:tcPr>
          <w:p>
            <w:pPr>
              <w:keepNext w:val="0"/>
              <w:keepLines w:val="0"/>
              <w:pageBreakBefore w:val="0"/>
              <w:widowControl w:val="0"/>
              <w:tabs>
                <w:tab w:val="left" w:pos="360"/>
                <w:tab w:val="left" w:pos="54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4.0</w:t>
            </w:r>
          </w:p>
        </w:tc>
      </w:tr>
    </w:tbl>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1"/>
          <w:szCs w:val="21"/>
          <w:lang w:val="en-US" w:eastAsia="zh-CN"/>
        </w:rPr>
        <w:t xml:space="preserve">  </w:t>
      </w:r>
    </w:p>
    <w:p>
      <w:pPr>
        <w:pStyle w:val="3"/>
        <w:spacing w:before="0" w:after="0" w:line="360" w:lineRule="auto"/>
        <w:rPr>
          <w:rFonts w:hint="default" w:ascii="Times New Roman" w:hAnsi="Times New Roman" w:cs="Times New Roman" w:eastAsiaTheme="minorEastAsia"/>
          <w:kern w:val="44"/>
          <w:sz w:val="24"/>
          <w:szCs w:val="24"/>
          <w:lang w:val="en-US" w:eastAsia="zh-CN"/>
        </w:rPr>
      </w:pPr>
      <w:bookmarkStart w:id="35" w:name="_Toc13312"/>
      <w:bookmarkStart w:id="36" w:name="_Toc13346"/>
      <w:r>
        <w:rPr>
          <w:rFonts w:hint="default" w:ascii="Times New Roman" w:hAnsi="Times New Roman" w:cs="Times New Roman" w:eastAsiaTheme="minorEastAsia"/>
          <w:kern w:val="44"/>
          <w:sz w:val="24"/>
          <w:szCs w:val="24"/>
          <w:lang w:val="en-US" w:eastAsia="zh-CN"/>
        </w:rPr>
        <w:t>6.3厂界噪声排放标准</w:t>
      </w:r>
      <w:bookmarkEnd w:id="35"/>
      <w:bookmarkEnd w:id="36"/>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东、西、北</w:t>
      </w:r>
      <w:r>
        <w:rPr>
          <w:rFonts w:hint="default" w:ascii="Times New Roman" w:hAnsi="Times New Roman" w:cs="Times New Roman"/>
          <w:sz w:val="24"/>
          <w:szCs w:val="24"/>
        </w:rPr>
        <w:t>厂界噪声</w:t>
      </w:r>
      <w:r>
        <w:rPr>
          <w:rFonts w:hint="eastAsia" w:ascii="Times New Roman" w:hAnsi="Times New Roman" w:cs="Times New Roman"/>
          <w:sz w:val="24"/>
          <w:szCs w:val="24"/>
          <w:lang w:val="en-US" w:eastAsia="zh-CN"/>
        </w:rPr>
        <w:t>排放</w:t>
      </w:r>
      <w:r>
        <w:rPr>
          <w:rFonts w:hint="default" w:ascii="Times New Roman" w:hAnsi="Times New Roman" w:cs="Times New Roman"/>
          <w:sz w:val="24"/>
          <w:szCs w:val="24"/>
        </w:rPr>
        <w:t>执行《工业企业厂界环境噪声排放标准》（GB12348-2008）中的3类区标准，即厂界昼间65dB(A)、夜间55dB(A)</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南厂界噪声排放执行</w:t>
      </w:r>
      <w:r>
        <w:rPr>
          <w:rFonts w:hint="default" w:ascii="Times New Roman" w:hAnsi="Times New Roman" w:cs="Times New Roman"/>
          <w:sz w:val="24"/>
          <w:szCs w:val="24"/>
        </w:rPr>
        <w:t>《工业企业厂界环境噪声排放标准》（GB12348-2008）中的</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类区标准，即厂界昼间</w:t>
      </w:r>
      <w:r>
        <w:rPr>
          <w:rFonts w:hint="eastAsia" w:ascii="Times New Roman" w:hAnsi="Times New Roman" w:cs="Times New Roman"/>
          <w:sz w:val="24"/>
          <w:szCs w:val="24"/>
          <w:lang w:val="en-US" w:eastAsia="zh-CN"/>
        </w:rPr>
        <w:t>70</w:t>
      </w:r>
      <w:r>
        <w:rPr>
          <w:rFonts w:hint="default" w:ascii="Times New Roman" w:hAnsi="Times New Roman" w:cs="Times New Roman"/>
          <w:sz w:val="24"/>
          <w:szCs w:val="24"/>
        </w:rPr>
        <w:t>dB(A)、夜间55dB(A)</w:t>
      </w:r>
      <w:r>
        <w:rPr>
          <w:rFonts w:hint="eastAsia" w:ascii="Times New Roman" w:hAnsi="Times New Roman" w:cs="Times New Roman"/>
          <w:sz w:val="24"/>
          <w:szCs w:val="24"/>
          <w:lang w:eastAsia="zh-CN"/>
        </w:rPr>
        <w:t>。</w:t>
      </w:r>
    </w:p>
    <w:p>
      <w:pPr>
        <w:pStyle w:val="3"/>
        <w:spacing w:before="0" w:after="0" w:line="360" w:lineRule="auto"/>
        <w:rPr>
          <w:rFonts w:hint="default" w:ascii="Times New Roman" w:hAnsi="Times New Roman" w:cs="Times New Roman" w:eastAsiaTheme="minorEastAsia"/>
          <w:kern w:val="44"/>
          <w:sz w:val="24"/>
          <w:szCs w:val="24"/>
          <w:lang w:val="en-US" w:eastAsia="zh-CN"/>
        </w:rPr>
      </w:pPr>
      <w:bookmarkStart w:id="37" w:name="_Toc366"/>
      <w:bookmarkStart w:id="38" w:name="_Toc10997"/>
      <w:r>
        <w:rPr>
          <w:rFonts w:hint="default" w:ascii="Times New Roman" w:hAnsi="Times New Roman" w:cs="Times New Roman" w:eastAsiaTheme="minorEastAsia"/>
          <w:kern w:val="44"/>
          <w:sz w:val="24"/>
          <w:szCs w:val="24"/>
          <w:lang w:val="en-US" w:eastAsia="zh-CN"/>
        </w:rPr>
        <w:t>6</w:t>
      </w:r>
      <w:r>
        <w:rPr>
          <w:rFonts w:hint="eastAsia" w:ascii="Times New Roman" w:hAnsi="Times New Roman" w:cs="Times New Roman" w:eastAsiaTheme="minorEastAsia"/>
          <w:kern w:val="44"/>
          <w:sz w:val="24"/>
          <w:szCs w:val="24"/>
          <w:lang w:val="en-US" w:eastAsia="zh-CN"/>
        </w:rPr>
        <w:t>.</w:t>
      </w:r>
      <w:r>
        <w:rPr>
          <w:rFonts w:hint="default" w:ascii="Times New Roman" w:hAnsi="Times New Roman" w:cs="Times New Roman" w:eastAsiaTheme="minorEastAsia"/>
          <w:kern w:val="44"/>
          <w:sz w:val="24"/>
          <w:szCs w:val="24"/>
          <w:lang w:val="en-US" w:eastAsia="zh-CN"/>
        </w:rPr>
        <w:t>4固体废弃物</w:t>
      </w:r>
      <w:bookmarkEnd w:id="37"/>
      <w:bookmarkEnd w:id="38"/>
    </w:p>
    <w:p>
      <w:pPr>
        <w:numPr>
          <w:ilvl w:val="0"/>
          <w:numId w:val="0"/>
        </w:numPr>
        <w:spacing w:line="360" w:lineRule="auto"/>
        <w:ind w:firstLine="480" w:firstLineChars="200"/>
        <w:jc w:val="both"/>
        <w:rPr>
          <w:rFonts w:hint="default" w:ascii="Times New Roman" w:hAnsi="Times New Roman" w:cs="Times New Roman"/>
          <w:sz w:val="24"/>
          <w:szCs w:val="24"/>
        </w:rPr>
      </w:pPr>
      <w:r>
        <w:rPr>
          <w:rFonts w:hint="eastAsia" w:ascii="Times New Roman" w:hAnsi="Times New Roman" w:cs="Times New Roman"/>
          <w:sz w:val="24"/>
          <w:szCs w:val="24"/>
          <w:lang w:val="en-US" w:eastAsia="zh-CN"/>
        </w:rPr>
        <w:t>一般</w:t>
      </w:r>
      <w:r>
        <w:rPr>
          <w:rFonts w:hint="default" w:ascii="Times New Roman" w:hAnsi="Times New Roman" w:cs="Times New Roman"/>
          <w:sz w:val="24"/>
          <w:szCs w:val="24"/>
        </w:rPr>
        <w:t>固体废物</w:t>
      </w:r>
      <w:r>
        <w:rPr>
          <w:rFonts w:hint="eastAsia" w:ascii="Times New Roman" w:hAnsi="Times New Roman" w:cs="Times New Roman"/>
          <w:sz w:val="24"/>
          <w:szCs w:val="24"/>
          <w:lang w:val="en-US" w:eastAsia="zh-CN"/>
        </w:rPr>
        <w:t>的</w:t>
      </w:r>
      <w:r>
        <w:rPr>
          <w:rFonts w:hint="eastAsia" w:ascii="Times New Roman" w:hAnsi="Times New Roman"/>
          <w:b w:val="0"/>
          <w:bCs/>
          <w:color w:val="auto"/>
          <w:sz w:val="24"/>
        </w:rPr>
        <w:t>贮存和处置</w:t>
      </w:r>
      <w:r>
        <w:rPr>
          <w:rFonts w:hint="default" w:ascii="Times New Roman" w:hAnsi="Times New Roman" w:cs="Times New Roman"/>
          <w:sz w:val="24"/>
          <w:szCs w:val="24"/>
        </w:rPr>
        <w:t>执行GB18599-2001《一般工业固体废物贮存、处置场污染控制标准》（修正）和《中华人民共和国固体废物污染环境防治法》（2016年修正）中的有关规定。</w:t>
      </w:r>
    </w:p>
    <w:p>
      <w:pPr>
        <w:numPr>
          <w:ilvl w:val="0"/>
          <w:numId w:val="0"/>
        </w:num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危险废物的</w:t>
      </w:r>
      <w:r>
        <w:rPr>
          <w:rFonts w:hint="eastAsia" w:ascii="Times New Roman" w:hAnsi="Times New Roman"/>
          <w:b w:val="0"/>
          <w:bCs/>
          <w:color w:val="auto"/>
          <w:sz w:val="24"/>
        </w:rPr>
        <w:t>贮存和处置</w:t>
      </w:r>
      <w:r>
        <w:rPr>
          <w:rFonts w:hint="default" w:ascii="Times New Roman" w:hAnsi="Times New Roman" w:cs="Times New Roman"/>
          <w:sz w:val="24"/>
          <w:szCs w:val="24"/>
        </w:rPr>
        <w:t>执行《危险废物贮存污染控制标准》（GB18597-2001）及修改单、《中华人民共和国固体废物污染环境防治法》（2016年修正）和《浙江省固体废物污染环境防治条例》中的有关规定。</w:t>
      </w: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numPr>
          <w:ilvl w:val="0"/>
          <w:numId w:val="0"/>
        </w:numPr>
        <w:spacing w:line="360" w:lineRule="auto"/>
        <w:ind w:firstLine="480" w:firstLineChars="200"/>
        <w:jc w:val="both"/>
        <w:rPr>
          <w:rFonts w:hint="default" w:ascii="Times New Roman" w:hAnsi="Times New Roman" w:cs="Times New Roman"/>
          <w:sz w:val="24"/>
          <w:szCs w:val="24"/>
        </w:rPr>
      </w:pP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39" w:name="_Toc515273919"/>
      <w:bookmarkStart w:id="40" w:name="_Toc20536"/>
      <w:r>
        <w:rPr>
          <w:rFonts w:hint="default" w:ascii="Times New Roman" w:hAnsi="Times New Roman" w:cs="Times New Roman"/>
          <w:sz w:val="24"/>
          <w:szCs w:val="24"/>
        </w:rPr>
        <w:t>验收监测内容</w:t>
      </w:r>
      <w:bookmarkEnd w:id="39"/>
      <w:bookmarkEnd w:id="40"/>
    </w:p>
    <w:p>
      <w:pPr>
        <w:pStyle w:val="3"/>
        <w:spacing w:before="0" w:after="0" w:line="360" w:lineRule="auto"/>
        <w:rPr>
          <w:rFonts w:hint="eastAsia" w:eastAsia="宋体"/>
          <w:lang w:eastAsia="zh-CN"/>
        </w:rPr>
      </w:pPr>
      <w:bookmarkStart w:id="41" w:name="_Toc8324"/>
      <w:bookmarkStart w:id="42" w:name="_Toc9933"/>
      <w:bookmarkStart w:id="43" w:name="_Toc29136"/>
      <w:r>
        <w:rPr>
          <w:rFonts w:ascii="Times New Roman" w:hAnsi="Times New Roman" w:eastAsia="宋体" w:cs="Times New Roman"/>
          <w:kern w:val="44"/>
          <w:sz w:val="24"/>
          <w:szCs w:val="24"/>
        </w:rPr>
        <w:t>7.1</w:t>
      </w:r>
      <w:bookmarkEnd w:id="41"/>
      <w:bookmarkEnd w:id="42"/>
      <w:r>
        <w:rPr>
          <w:rFonts w:hint="eastAsia" w:ascii="Times New Roman" w:hAnsi="Times New Roman" w:eastAsia="宋体" w:cs="宋体"/>
          <w:kern w:val="44"/>
          <w:sz w:val="24"/>
          <w:szCs w:val="24"/>
          <w:lang w:val="en-US" w:eastAsia="zh-CN"/>
        </w:rPr>
        <w:t>废水</w:t>
      </w:r>
      <w:bookmarkEnd w:id="43"/>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废水监测内容及频次见表7-1。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rPr>
      </w:pPr>
      <w:r>
        <w:rPr>
          <w:rFonts w:hint="default" w:ascii="Times New Roman" w:hAnsi="Times New Roman" w:cs="Times New Roman"/>
          <w:b/>
          <w:bCs/>
        </w:rPr>
        <w:t>表7-1  废水监测内容及频次</w:t>
      </w:r>
    </w:p>
    <w:tbl>
      <w:tblPr>
        <w:tblStyle w:val="16"/>
        <w:tblW w:w="8340" w:type="dxa"/>
        <w:jc w:val="center"/>
        <w:tblLayout w:type="fixed"/>
        <w:tblCellMar>
          <w:top w:w="0" w:type="dxa"/>
          <w:left w:w="0" w:type="dxa"/>
          <w:bottom w:w="0" w:type="dxa"/>
          <w:right w:w="0" w:type="dxa"/>
        </w:tblCellMar>
      </w:tblPr>
      <w:tblGrid>
        <w:gridCol w:w="563"/>
        <w:gridCol w:w="1942"/>
        <w:gridCol w:w="3465"/>
        <w:gridCol w:w="2370"/>
      </w:tblGrid>
      <w:tr>
        <w:tblPrEx>
          <w:tblCellMar>
            <w:top w:w="0" w:type="dxa"/>
            <w:left w:w="0" w:type="dxa"/>
            <w:bottom w:w="0" w:type="dxa"/>
            <w:right w:w="0" w:type="dxa"/>
          </w:tblCellMar>
        </w:tblPrEx>
        <w:trPr>
          <w:trHeight w:val="34" w:hRule="atLeast"/>
          <w:jc w:val="center"/>
        </w:trPr>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编号</w:t>
            </w:r>
          </w:p>
        </w:tc>
        <w:tc>
          <w:tcPr>
            <w:tcW w:w="19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34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3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CellMar>
            <w:top w:w="0" w:type="dxa"/>
            <w:left w:w="0" w:type="dxa"/>
            <w:bottom w:w="0" w:type="dxa"/>
            <w:right w:w="0" w:type="dxa"/>
          </w:tblCellMar>
        </w:tblPrEx>
        <w:trPr>
          <w:trHeight w:val="34" w:hRule="atLeast"/>
          <w:jc w:val="center"/>
        </w:trPr>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1</w:t>
            </w:r>
          </w:p>
        </w:tc>
        <w:tc>
          <w:tcPr>
            <w:tcW w:w="19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eastAsiaTheme="minorEastAsia"/>
                <w:color w:val="0000FF"/>
                <w:kern w:val="0"/>
                <w:lang w:val="en-US" w:eastAsia="zh-CN"/>
              </w:rPr>
            </w:pPr>
            <w:r>
              <w:rPr>
                <w:rFonts w:hint="eastAsia" w:ascii="Times New Roman" w:hAnsi="Times New Roman" w:cs="Times New Roman"/>
                <w:color w:val="auto"/>
                <w:kern w:val="0"/>
                <w:lang w:val="en-US" w:eastAsia="zh-CN"/>
              </w:rPr>
              <w:t>生活污水入管网口</w:t>
            </w:r>
          </w:p>
        </w:tc>
        <w:tc>
          <w:tcPr>
            <w:tcW w:w="34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kern w:val="0"/>
              </w:rPr>
            </w:pPr>
            <w:r>
              <w:rPr>
                <w:rFonts w:hint="default" w:ascii="Times New Roman" w:hAnsi="Times New Roman" w:cs="Times New Roman"/>
                <w:kern w:val="0"/>
              </w:rPr>
              <w:t>pH、化学需氧量、氨氮、悬浮物、</w:t>
            </w:r>
          </w:p>
          <w:p>
            <w:pPr>
              <w:jc w:val="center"/>
              <w:rPr>
                <w:rFonts w:hint="default" w:ascii="Times New Roman" w:hAnsi="Times New Roman" w:cs="Times New Roman" w:eastAsiaTheme="minorEastAsia"/>
                <w:lang w:val="en-US" w:eastAsia="zh-CN"/>
              </w:rPr>
            </w:pPr>
            <w:r>
              <w:rPr>
                <w:rFonts w:hint="default" w:ascii="Times New Roman" w:hAnsi="Times New Roman" w:cs="Times New Roman"/>
                <w:kern w:val="0"/>
                <w:lang w:val="en-US" w:eastAsia="zh-CN"/>
              </w:rPr>
              <w:t>五日生化需氧量、</w:t>
            </w:r>
            <w:r>
              <w:rPr>
                <w:rFonts w:hint="eastAsia" w:ascii="Times New Roman" w:hAnsi="Times New Roman" w:cs="Times New Roman"/>
                <w:kern w:val="0"/>
                <w:lang w:val="en-US" w:eastAsia="zh-CN"/>
              </w:rPr>
              <w:t>动植物油</w:t>
            </w:r>
          </w:p>
        </w:tc>
        <w:tc>
          <w:tcPr>
            <w:tcW w:w="23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rPr>
              <w:t>连续2天，每天4次</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p>
    <w:p>
      <w:pPr>
        <w:pStyle w:val="3"/>
        <w:spacing w:before="0" w:after="0" w:line="360" w:lineRule="auto"/>
        <w:rPr>
          <w:rFonts w:hint="default" w:ascii="Times New Roman" w:hAnsi="Times New Roman" w:eastAsia="宋体" w:cs="Times New Roman"/>
          <w:kern w:val="44"/>
          <w:sz w:val="24"/>
          <w:szCs w:val="24"/>
          <w:lang w:val="en-US" w:eastAsia="zh-CN"/>
        </w:rPr>
      </w:pPr>
      <w:bookmarkStart w:id="44" w:name="_Toc23584"/>
      <w:bookmarkStart w:id="45" w:name="_Toc2449"/>
      <w:r>
        <w:rPr>
          <w:rFonts w:hint="default" w:ascii="Times New Roman" w:hAnsi="Times New Roman" w:eastAsia="宋体" w:cs="Times New Roman"/>
          <w:kern w:val="44"/>
          <w:sz w:val="24"/>
          <w:szCs w:val="24"/>
          <w:lang w:val="en-US" w:eastAsia="zh-CN"/>
        </w:rPr>
        <w:t>7</w:t>
      </w:r>
      <w:r>
        <w:rPr>
          <w:rFonts w:hint="eastAsia" w:ascii="Times New Roman" w:hAnsi="Times New Roman" w:eastAsia="宋体" w:cs="Times New Roman"/>
          <w:kern w:val="44"/>
          <w:sz w:val="24"/>
          <w:szCs w:val="24"/>
          <w:lang w:val="en-US" w:eastAsia="zh-CN"/>
        </w:rPr>
        <w:t>.</w:t>
      </w:r>
      <w:r>
        <w:rPr>
          <w:rFonts w:hint="default" w:ascii="Times New Roman" w:hAnsi="Times New Roman" w:eastAsia="宋体" w:cs="Times New Roman"/>
          <w:kern w:val="44"/>
          <w:sz w:val="24"/>
          <w:szCs w:val="24"/>
          <w:lang w:val="en-US" w:eastAsia="zh-CN"/>
        </w:rPr>
        <w:t>2废气</w:t>
      </w:r>
      <w:bookmarkEnd w:id="44"/>
      <w:bookmarkEnd w:id="45"/>
    </w:p>
    <w:p>
      <w:pPr>
        <w:numPr>
          <w:ilvl w:val="0"/>
          <w:numId w:val="5"/>
        </w:num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有组织</w:t>
      </w:r>
    </w:p>
    <w:p>
      <w:pPr>
        <w:spacing w:line="360" w:lineRule="auto"/>
        <w:ind w:firstLine="480" w:firstLineChars="200"/>
        <w:rPr>
          <w:rFonts w:ascii="Times New Roman" w:hAnsi="Times New Roman" w:cs="Times New Roman"/>
          <w:sz w:val="24"/>
        </w:rPr>
      </w:pPr>
      <w:r>
        <w:rPr>
          <w:rFonts w:hint="eastAsia" w:ascii="Times New Roman" w:hAnsi="Times New Roman" w:cs="宋体"/>
          <w:sz w:val="24"/>
        </w:rPr>
        <w:t>有组织排放废气监测内容及频次具体见表</w:t>
      </w:r>
      <w:r>
        <w:rPr>
          <w:rFonts w:ascii="Times New Roman" w:hAnsi="Times New Roman" w:cs="Times New Roman"/>
          <w:sz w:val="24"/>
        </w:rPr>
        <w:t>7-2</w:t>
      </w:r>
      <w:r>
        <w:rPr>
          <w:rFonts w:hint="eastAsia" w:ascii="Times New Roman" w:hAnsi="Times New Roman" w:cs="宋体"/>
          <w:sz w:val="24"/>
        </w:rPr>
        <w:t>。</w:t>
      </w:r>
    </w:p>
    <w:p>
      <w:pPr>
        <w:spacing w:line="440" w:lineRule="exact"/>
        <w:jc w:val="center"/>
        <w:rPr>
          <w:rFonts w:ascii="Times New Roman" w:hAnsi="Times New Roman" w:cs="Times New Roman"/>
          <w:b/>
          <w:bCs/>
        </w:rPr>
      </w:pPr>
      <w:r>
        <w:rPr>
          <w:rFonts w:hint="eastAsia" w:ascii="Times New Roman" w:hAnsi="Times New Roman" w:cs="宋体"/>
          <w:b/>
          <w:bCs/>
        </w:rPr>
        <w:t>表</w:t>
      </w:r>
      <w:r>
        <w:rPr>
          <w:rFonts w:ascii="Times New Roman" w:hAnsi="Times New Roman" w:cs="Times New Roman"/>
          <w:b/>
          <w:bCs/>
        </w:rPr>
        <w:t xml:space="preserve">7-2  </w:t>
      </w:r>
      <w:r>
        <w:rPr>
          <w:rFonts w:hint="eastAsia" w:ascii="Times New Roman" w:hAnsi="Times New Roman" w:cs="宋体"/>
          <w:b/>
          <w:bCs/>
        </w:rPr>
        <w:t>有组织废气监测内容及频次</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0"/>
        <w:gridCol w:w="2655"/>
        <w:gridCol w:w="2087"/>
        <w:gridCol w:w="2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590" w:type="dxa"/>
            <w:tcBorders>
              <w:top w:val="single" w:color="auto" w:sz="4" w:space="0"/>
            </w:tcBorders>
            <w:vAlign w:val="center"/>
          </w:tcPr>
          <w:p>
            <w:pPr>
              <w:jc w:val="center"/>
              <w:rPr>
                <w:rFonts w:ascii="Times New Roman" w:hAnsi="Times New Roman" w:cs="Times New Roman"/>
              </w:rPr>
            </w:pPr>
            <w:r>
              <w:rPr>
                <w:rFonts w:hint="eastAsia" w:ascii="Times New Roman" w:hAnsi="Times New Roman" w:cs="宋体"/>
              </w:rPr>
              <w:t>废气名称</w:t>
            </w:r>
          </w:p>
        </w:tc>
        <w:tc>
          <w:tcPr>
            <w:tcW w:w="2655" w:type="dxa"/>
            <w:tcBorders>
              <w:top w:val="single" w:color="auto" w:sz="4" w:space="0"/>
            </w:tcBorders>
            <w:vAlign w:val="center"/>
          </w:tcPr>
          <w:p>
            <w:pPr>
              <w:jc w:val="center"/>
              <w:rPr>
                <w:rFonts w:ascii="Times New Roman" w:hAnsi="Times New Roman" w:cs="Times New Roman"/>
              </w:rPr>
            </w:pPr>
            <w:r>
              <w:rPr>
                <w:rFonts w:hint="eastAsia" w:ascii="Times New Roman" w:hAnsi="Times New Roman" w:cs="宋体"/>
              </w:rPr>
              <w:t>监测点位</w:t>
            </w:r>
          </w:p>
        </w:tc>
        <w:tc>
          <w:tcPr>
            <w:tcW w:w="2087" w:type="dxa"/>
            <w:tcBorders>
              <w:top w:val="single" w:color="auto" w:sz="4" w:space="0"/>
            </w:tcBorders>
            <w:vAlign w:val="center"/>
          </w:tcPr>
          <w:p>
            <w:pPr>
              <w:jc w:val="center"/>
              <w:rPr>
                <w:rFonts w:ascii="Times New Roman" w:hAnsi="Times New Roman" w:cs="Times New Roman"/>
              </w:rPr>
            </w:pPr>
            <w:r>
              <w:rPr>
                <w:rFonts w:hint="eastAsia" w:ascii="Times New Roman" w:hAnsi="Times New Roman" w:cs="宋体"/>
              </w:rPr>
              <w:t>监测因子</w:t>
            </w:r>
          </w:p>
        </w:tc>
        <w:tc>
          <w:tcPr>
            <w:tcW w:w="2172" w:type="dxa"/>
            <w:tcBorders>
              <w:top w:val="single" w:color="auto" w:sz="4" w:space="0"/>
            </w:tcBorders>
            <w:vAlign w:val="center"/>
          </w:tcPr>
          <w:p>
            <w:pPr>
              <w:jc w:val="center"/>
              <w:rPr>
                <w:rFonts w:ascii="Times New Roman" w:hAnsi="Times New Roman" w:cs="Times New Roman"/>
              </w:rPr>
            </w:pPr>
            <w:r>
              <w:rPr>
                <w:rFonts w:hint="eastAsia" w:ascii="Times New Roman" w:hAnsi="Times New Roman" w:cs="宋体"/>
              </w:rPr>
              <w:t>监测频次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59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有机废气</w:t>
            </w:r>
          </w:p>
        </w:tc>
        <w:tc>
          <w:tcPr>
            <w:tcW w:w="2655" w:type="dxa"/>
            <w:vAlign w:val="center"/>
          </w:tcPr>
          <w:p>
            <w:pPr>
              <w:jc w:val="center"/>
              <w:rPr>
                <w:rFonts w:hint="default" w:ascii="Times New Roman" w:hAnsi="Times New Roman" w:cs="Times New Roman"/>
                <w:lang w:val="en-US"/>
              </w:rPr>
            </w:pPr>
            <w:r>
              <w:rPr>
                <w:rFonts w:hint="eastAsia" w:ascii="Times New Roman" w:hAnsi="Times New Roman" w:cs="宋体"/>
                <w:lang w:val="en-US" w:eastAsia="zh-CN"/>
              </w:rPr>
              <w:t>废气处理设施进、出口</w:t>
            </w:r>
          </w:p>
        </w:tc>
        <w:tc>
          <w:tcPr>
            <w:tcW w:w="2087" w:type="dxa"/>
            <w:vAlign w:val="center"/>
          </w:tcPr>
          <w:p>
            <w:pPr>
              <w:jc w:val="center"/>
              <w:rPr>
                <w:rFonts w:hint="eastAsia" w:ascii="Times New Roman" w:hAnsi="Times New Roman" w:cs="Times New Roman" w:eastAsiaTheme="minorEastAsia"/>
                <w:lang w:eastAsia="zh-CN"/>
              </w:rPr>
            </w:pPr>
            <w:r>
              <w:rPr>
                <w:rFonts w:hint="eastAsia" w:ascii="Times New Roman" w:hAnsi="Times New Roman" w:cs="宋体"/>
                <w:lang w:val="en-US" w:eastAsia="zh-CN"/>
              </w:rPr>
              <w:t>非甲烷总烃</w:t>
            </w:r>
          </w:p>
        </w:tc>
        <w:tc>
          <w:tcPr>
            <w:tcW w:w="2172" w:type="dxa"/>
            <w:vAlign w:val="center"/>
          </w:tcPr>
          <w:p>
            <w:pPr>
              <w:jc w:val="center"/>
              <w:rPr>
                <w:rFonts w:ascii="Times New Roman" w:hAnsi="Times New Roman" w:cs="Times New Roman"/>
              </w:rPr>
            </w:pPr>
            <w:r>
              <w:rPr>
                <w:rFonts w:hint="eastAsia" w:ascii="Times New Roman" w:hAnsi="Times New Roman" w:cs="宋体"/>
              </w:rPr>
              <w:t>监测</w:t>
            </w:r>
            <w:r>
              <w:rPr>
                <w:rFonts w:ascii="Times New Roman" w:hAnsi="Times New Roman" w:cs="Times New Roman"/>
              </w:rPr>
              <w:t>2</w:t>
            </w:r>
            <w:r>
              <w:rPr>
                <w:rFonts w:hint="eastAsia" w:ascii="Times New Roman" w:hAnsi="Times New Roman" w:cs="宋体"/>
              </w:rPr>
              <w:t>天，每天</w:t>
            </w:r>
            <w:r>
              <w:rPr>
                <w:rFonts w:ascii="Times New Roman" w:hAnsi="Times New Roman" w:cs="Times New Roman"/>
              </w:rPr>
              <w:t>3</w:t>
            </w:r>
            <w:r>
              <w:rPr>
                <w:rFonts w:hint="eastAsia" w:ascii="Times New Roman" w:hAnsi="Times New Roman" w:cs="宋体"/>
              </w:rPr>
              <w:t>次</w:t>
            </w:r>
          </w:p>
        </w:tc>
      </w:tr>
    </w:tbl>
    <w:p>
      <w:pPr>
        <w:numPr>
          <w:ilvl w:val="0"/>
          <w:numId w:val="0"/>
        </w:numPr>
        <w:rPr>
          <w:rFonts w:hint="default"/>
          <w:lang w:val="en-US" w:eastAsia="zh-CN"/>
        </w:rPr>
      </w:pPr>
    </w:p>
    <w:p>
      <w:pPr>
        <w:numPr>
          <w:ilvl w:val="0"/>
          <w:numId w:val="5"/>
        </w:num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无组织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无组织排放废气监测内容及频次具体见表7-</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w:t>
      </w:r>
    </w:p>
    <w:p>
      <w:pPr>
        <w:jc w:val="center"/>
        <w:rPr>
          <w:rFonts w:hint="default" w:ascii="Times New Roman" w:hAnsi="Times New Roman" w:cs="Times New Roman"/>
          <w:b/>
          <w:bCs/>
        </w:rPr>
      </w:pPr>
      <w:r>
        <w:rPr>
          <w:rFonts w:hint="default" w:ascii="Times New Roman" w:hAnsi="Times New Roman" w:cs="Times New Roman"/>
          <w:b/>
          <w:bCs/>
        </w:rPr>
        <w:t>表7-</w:t>
      </w:r>
      <w:r>
        <w:rPr>
          <w:rFonts w:hint="eastAsia" w:ascii="Times New Roman" w:hAnsi="Times New Roman" w:cs="Times New Roman"/>
          <w:b/>
          <w:bCs/>
          <w:lang w:val="en-US" w:eastAsia="zh-CN"/>
        </w:rPr>
        <w:t>3</w:t>
      </w:r>
      <w:r>
        <w:rPr>
          <w:rFonts w:hint="default" w:ascii="Times New Roman" w:hAnsi="Times New Roman" w:cs="Times New Roman"/>
          <w:b/>
          <w:bCs/>
        </w:rPr>
        <w:t xml:space="preserve">  无组织废气监测内容及频次</w:t>
      </w:r>
    </w:p>
    <w:tbl>
      <w:tblPr>
        <w:tblStyle w:val="16"/>
        <w:tblW w:w="84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2834"/>
        <w:gridCol w:w="2062"/>
        <w:gridCol w:w="21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 w:hRule="atLeast"/>
          <w:jc w:val="center"/>
        </w:trPr>
        <w:tc>
          <w:tcPr>
            <w:tcW w:w="1374"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排放源</w:t>
            </w:r>
          </w:p>
        </w:tc>
        <w:tc>
          <w:tcPr>
            <w:tcW w:w="2834"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2062"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160" w:type="dxa"/>
            <w:tcBorders>
              <w:top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4" w:hRule="atLeast"/>
          <w:jc w:val="center"/>
        </w:trPr>
        <w:tc>
          <w:tcPr>
            <w:tcW w:w="1374" w:type="dxa"/>
            <w:tcBorders>
              <w:bottom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生产车间</w:t>
            </w:r>
          </w:p>
        </w:tc>
        <w:tc>
          <w:tcPr>
            <w:tcW w:w="2834" w:type="dxa"/>
            <w:tcBorders>
              <w:bottom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东、南、西、北厂界共4个监测点位</w:t>
            </w:r>
          </w:p>
        </w:tc>
        <w:tc>
          <w:tcPr>
            <w:tcW w:w="2062" w:type="dxa"/>
            <w:tcBorders>
              <w:bottom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宋体"/>
                <w:lang w:val="en-US" w:eastAsia="zh-CN"/>
              </w:rPr>
              <w:t>非甲烷总烃</w:t>
            </w:r>
          </w:p>
        </w:tc>
        <w:tc>
          <w:tcPr>
            <w:tcW w:w="2160" w:type="dxa"/>
            <w:tcBorders>
              <w:bottom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监测2天，每天4次</w:t>
            </w:r>
          </w:p>
        </w:tc>
      </w:tr>
    </w:tbl>
    <w:p>
      <w:pPr>
        <w:rPr>
          <w:rFonts w:hint="default" w:ascii="Times New Roman" w:hAnsi="Times New Roman" w:cs="Times New Roman"/>
        </w:rPr>
      </w:pPr>
      <w:r>
        <w:rPr>
          <w:rFonts w:hint="default" w:ascii="Times New Roman" w:hAnsi="Times New Roman" w:cs="Times New Roman"/>
        </w:rPr>
        <w:t xml:space="preserve">注：同时测试风向、风速、温度、湿度、大气压等气象参数。 </w:t>
      </w:r>
    </w:p>
    <w:p>
      <w:pPr>
        <w:spacing w:line="360" w:lineRule="auto"/>
        <w:rPr>
          <w:rFonts w:hint="default" w:ascii="Times New Roman" w:hAnsi="Times New Roman" w:cs="Times New Roman"/>
          <w:b/>
          <w:bCs/>
          <w:sz w:val="24"/>
          <w:szCs w:val="24"/>
        </w:rPr>
      </w:pPr>
    </w:p>
    <w:p>
      <w:pPr>
        <w:pStyle w:val="3"/>
        <w:spacing w:before="0" w:after="0" w:line="360" w:lineRule="auto"/>
        <w:rPr>
          <w:rFonts w:hint="default" w:ascii="Times New Roman" w:hAnsi="Times New Roman" w:eastAsia="宋体" w:cs="Times New Roman"/>
          <w:kern w:val="44"/>
          <w:sz w:val="24"/>
          <w:szCs w:val="24"/>
          <w:lang w:val="en-US" w:eastAsia="zh-CN"/>
        </w:rPr>
      </w:pPr>
      <w:bookmarkStart w:id="46" w:name="_Toc6493"/>
      <w:bookmarkStart w:id="47" w:name="_Toc21940"/>
      <w:r>
        <w:rPr>
          <w:rFonts w:hint="default" w:ascii="Times New Roman" w:hAnsi="Times New Roman" w:eastAsia="宋体" w:cs="Times New Roman"/>
          <w:kern w:val="44"/>
          <w:sz w:val="24"/>
          <w:szCs w:val="24"/>
          <w:lang w:val="en-US" w:eastAsia="zh-CN"/>
        </w:rPr>
        <w:t>7.3噪声</w:t>
      </w:r>
      <w:bookmarkEnd w:id="46"/>
      <w:bookmarkEnd w:id="47"/>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本项目夜间不生产，因此只测昼间噪声。厂界噪声监测内容见表7-</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 xml:space="preserve">。 </w:t>
      </w:r>
    </w:p>
    <w:p>
      <w:pPr>
        <w:jc w:val="center"/>
        <w:rPr>
          <w:rFonts w:hint="default" w:ascii="Times New Roman" w:hAnsi="Times New Roman" w:cs="Times New Roman"/>
          <w:b/>
          <w:bCs/>
        </w:rPr>
      </w:pPr>
      <w:r>
        <w:rPr>
          <w:rFonts w:hint="default" w:ascii="Times New Roman" w:hAnsi="Times New Roman" w:cs="Times New Roman"/>
          <w:b/>
          <w:bCs/>
        </w:rPr>
        <w:t>表7-</w:t>
      </w:r>
      <w:r>
        <w:rPr>
          <w:rFonts w:hint="eastAsia" w:ascii="Times New Roman" w:hAnsi="Times New Roman" w:cs="Times New Roman"/>
          <w:b/>
          <w:bCs/>
          <w:lang w:val="en-US" w:eastAsia="zh-CN"/>
        </w:rPr>
        <w:t>4</w:t>
      </w:r>
      <w:r>
        <w:rPr>
          <w:rFonts w:hint="default" w:ascii="Times New Roman" w:hAnsi="Times New Roman" w:cs="Times New Roman"/>
          <w:b/>
          <w:bCs/>
        </w:rPr>
        <w:t xml:space="preserve">  噪声监测内容及监测频次</w:t>
      </w:r>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2"/>
        <w:gridCol w:w="2226"/>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532" w:type="dxa"/>
            <w:vAlign w:val="center"/>
          </w:tcPr>
          <w:p>
            <w:pPr>
              <w:jc w:val="center"/>
              <w:rPr>
                <w:rFonts w:hint="default" w:ascii="Times New Roman" w:hAnsi="Times New Roman" w:cs="Times New Roman"/>
              </w:rPr>
            </w:pPr>
            <w:r>
              <w:rPr>
                <w:rFonts w:hint="default" w:ascii="Times New Roman" w:hAnsi="Times New Roman" w:cs="Times New Roman"/>
              </w:rPr>
              <w:t>监测点位</w:t>
            </w:r>
          </w:p>
        </w:tc>
        <w:tc>
          <w:tcPr>
            <w:tcW w:w="2226" w:type="dxa"/>
            <w:vAlign w:val="center"/>
          </w:tcPr>
          <w:p>
            <w:pPr>
              <w:jc w:val="center"/>
              <w:rPr>
                <w:rFonts w:hint="default" w:ascii="Times New Roman" w:hAnsi="Times New Roman" w:cs="Times New Roman"/>
              </w:rPr>
            </w:pPr>
            <w:r>
              <w:rPr>
                <w:rFonts w:hint="default" w:ascii="Times New Roman" w:hAnsi="Times New Roman" w:cs="Times New Roman"/>
              </w:rPr>
              <w:t>监测因子</w:t>
            </w:r>
          </w:p>
        </w:tc>
        <w:tc>
          <w:tcPr>
            <w:tcW w:w="2747" w:type="dxa"/>
            <w:vAlign w:val="center"/>
          </w:tcPr>
          <w:p>
            <w:pPr>
              <w:jc w:val="center"/>
              <w:rPr>
                <w:rFonts w:hint="default" w:ascii="Times New Roman" w:hAnsi="Times New Roman" w:cs="Times New Roman"/>
              </w:rPr>
            </w:pPr>
            <w:r>
              <w:rPr>
                <w:rFonts w:hint="default" w:ascii="Times New Roman" w:hAnsi="Times New Roman" w:cs="Times New Roma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532" w:type="dxa"/>
            <w:vAlign w:val="center"/>
          </w:tcPr>
          <w:p>
            <w:pPr>
              <w:jc w:val="center"/>
              <w:rPr>
                <w:rFonts w:hint="default" w:ascii="Times New Roman" w:hAnsi="Times New Roman" w:cs="Times New Roman"/>
              </w:rPr>
            </w:pPr>
            <w:r>
              <w:rPr>
                <w:rFonts w:hint="default" w:ascii="Times New Roman" w:hAnsi="Times New Roman" w:cs="Times New Roman"/>
              </w:rPr>
              <w:t>东、南、西、北厂界</w:t>
            </w:r>
          </w:p>
        </w:tc>
        <w:tc>
          <w:tcPr>
            <w:tcW w:w="2226" w:type="dxa"/>
            <w:vAlign w:val="center"/>
          </w:tcPr>
          <w:p>
            <w:pPr>
              <w:jc w:val="center"/>
              <w:rPr>
                <w:rFonts w:hint="default" w:ascii="Times New Roman" w:hAnsi="Times New Roman" w:cs="Times New Roman"/>
              </w:rPr>
            </w:pPr>
            <w:r>
              <w:rPr>
                <w:rFonts w:hint="default" w:ascii="Times New Roman" w:hAnsi="Times New Roman" w:cs="Times New Roman"/>
              </w:rPr>
              <w:t>等效连续A声级</w:t>
            </w:r>
          </w:p>
        </w:tc>
        <w:tc>
          <w:tcPr>
            <w:tcW w:w="2747" w:type="dxa"/>
            <w:vAlign w:val="center"/>
          </w:tcPr>
          <w:p>
            <w:pPr>
              <w:jc w:val="center"/>
              <w:rPr>
                <w:rFonts w:hint="default" w:ascii="Times New Roman" w:hAnsi="Times New Roman" w:cs="Times New Roman"/>
              </w:rPr>
            </w:pPr>
            <w:r>
              <w:rPr>
                <w:rFonts w:hint="default" w:ascii="Times New Roman" w:hAnsi="Times New Roman" w:cs="Times New Roman"/>
              </w:rPr>
              <w:t>监测2天，昼</w:t>
            </w:r>
            <w:r>
              <w:rPr>
                <w:rFonts w:hint="eastAsia" w:ascii="Times New Roman" w:hAnsi="Times New Roman" w:cs="Times New Roman"/>
                <w:lang w:val="en-US" w:eastAsia="zh-CN"/>
              </w:rPr>
              <w:t>间</w:t>
            </w:r>
            <w:r>
              <w:rPr>
                <w:rFonts w:hint="default" w:ascii="Times New Roman" w:hAnsi="Times New Roman" w:cs="Times New Roman"/>
              </w:rPr>
              <w:t xml:space="preserve">2次。 </w:t>
            </w:r>
          </w:p>
        </w:tc>
      </w:tr>
    </w:tbl>
    <w:p>
      <w:pPr>
        <w:spacing w:line="360" w:lineRule="auto"/>
        <w:rPr>
          <w:rFonts w:hint="default" w:ascii="Times New Roman" w:hAnsi="Times New Roman" w:cs="Times New Roman"/>
          <w:b/>
          <w:bCs/>
          <w:sz w:val="24"/>
          <w:szCs w:val="24"/>
        </w:rPr>
      </w:pPr>
    </w:p>
    <w:p>
      <w:pPr>
        <w:pStyle w:val="3"/>
        <w:spacing w:before="0" w:after="0" w:line="360" w:lineRule="auto"/>
        <w:rPr>
          <w:rFonts w:hint="default" w:ascii="Times New Roman" w:hAnsi="Times New Roman" w:eastAsia="宋体" w:cs="Times New Roman"/>
          <w:kern w:val="44"/>
          <w:sz w:val="24"/>
          <w:szCs w:val="24"/>
          <w:lang w:val="en-US" w:eastAsia="zh-CN"/>
        </w:rPr>
      </w:pPr>
      <w:bookmarkStart w:id="48" w:name="_Toc16064"/>
      <w:bookmarkStart w:id="49" w:name="_Toc24171"/>
      <w:r>
        <w:rPr>
          <w:rFonts w:hint="default" w:ascii="Times New Roman" w:hAnsi="Times New Roman" w:eastAsia="宋体" w:cs="Times New Roman"/>
          <w:kern w:val="44"/>
          <w:sz w:val="24"/>
          <w:szCs w:val="24"/>
          <w:lang w:val="en-US" w:eastAsia="zh-CN"/>
        </w:rPr>
        <w:t>7</w:t>
      </w:r>
      <w:r>
        <w:rPr>
          <w:rFonts w:hint="eastAsia" w:ascii="Times New Roman" w:hAnsi="Times New Roman" w:eastAsia="宋体" w:cs="Times New Roman"/>
          <w:kern w:val="44"/>
          <w:sz w:val="24"/>
          <w:szCs w:val="24"/>
          <w:lang w:val="en-US" w:eastAsia="zh-CN"/>
        </w:rPr>
        <w:t>.</w:t>
      </w:r>
      <w:r>
        <w:rPr>
          <w:rFonts w:hint="default" w:ascii="Times New Roman" w:hAnsi="Times New Roman" w:eastAsia="宋体" w:cs="Times New Roman"/>
          <w:kern w:val="44"/>
          <w:sz w:val="24"/>
          <w:szCs w:val="24"/>
          <w:lang w:val="en-US" w:eastAsia="zh-CN"/>
        </w:rPr>
        <w:t>4固废</w:t>
      </w:r>
      <w:bookmarkEnd w:id="48"/>
      <w:bookmarkEnd w:id="49"/>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调查项目产生的固体废弃物的种类、属性、年产生量和处理方式。</w:t>
      </w:r>
    </w:p>
    <w:p>
      <w:pPr>
        <w:spacing w:line="360" w:lineRule="auto"/>
        <w:ind w:firstLine="480" w:firstLineChars="200"/>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tabs>
          <w:tab w:val="left" w:pos="396"/>
        </w:tabs>
        <w:spacing w:line="360" w:lineRule="auto"/>
        <w:rPr>
          <w:rFonts w:hint="eastAsia" w:ascii="Times New Roman" w:hAnsi="Times New Roman" w:cs="Times New Roman" w:eastAsiaTheme="minorEastAsia"/>
          <w:sz w:val="24"/>
          <w:szCs w:val="24"/>
          <w:lang w:eastAsia="zh-CN"/>
        </w:rPr>
      </w:pP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50" w:name="_Toc627"/>
      <w:bookmarkStart w:id="51" w:name="_Toc515273921"/>
      <w:r>
        <w:rPr>
          <w:rFonts w:hint="default" w:ascii="Times New Roman" w:hAnsi="Times New Roman" w:cs="Times New Roman"/>
          <w:sz w:val="24"/>
          <w:szCs w:val="24"/>
        </w:rPr>
        <w:t>质量保证及质量控制</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rPr>
      </w:pPr>
      <w:r>
        <w:rPr>
          <w:rFonts w:hint="eastAsia" w:ascii="Times New Roman" w:hAnsi="Times New Roman" w:cs="Times New Roman"/>
          <w:sz w:val="24"/>
          <w:szCs w:val="24"/>
          <w:lang w:val="en-US" w:eastAsia="zh-CN"/>
        </w:rPr>
        <w:t>本项目环保设施监测工作委托嘉兴市威正检测服务有限公司，以下为嘉兴市威正检测服务有限公司的</w:t>
      </w:r>
      <w:r>
        <w:rPr>
          <w:rFonts w:ascii="Times New Roman" w:hAnsi="Times New Roman" w:cs="Times New Roman"/>
          <w:sz w:val="24"/>
          <w:szCs w:val="24"/>
        </w:rPr>
        <w:t>验收监测质量保证及质量控制</w:t>
      </w:r>
      <w:r>
        <w:rPr>
          <w:rFonts w:hint="eastAsia" w:ascii="Times New Roman" w:hAnsi="Times New Roman" w:cs="Times New Roman"/>
          <w:sz w:val="24"/>
          <w:szCs w:val="24"/>
          <w:lang w:val="en-US" w:eastAsia="zh-CN"/>
        </w:rPr>
        <w:t>措施。</w:t>
      </w:r>
    </w:p>
    <w:p>
      <w:pPr>
        <w:pStyle w:val="3"/>
        <w:spacing w:before="0" w:after="0" w:line="360" w:lineRule="auto"/>
        <w:rPr>
          <w:rFonts w:hint="default" w:ascii="Times New Roman" w:hAnsi="Times New Roman" w:eastAsia="宋体" w:cs="Times New Roman"/>
          <w:sz w:val="24"/>
          <w:szCs w:val="24"/>
        </w:rPr>
      </w:pPr>
      <w:bookmarkStart w:id="52" w:name="_Toc17718"/>
      <w:bookmarkStart w:id="53" w:name="_Toc515273922"/>
      <w:r>
        <w:rPr>
          <w:rFonts w:hint="default" w:ascii="Times New Roman" w:hAnsi="Times New Roman" w:eastAsia="宋体" w:cs="Times New Roman"/>
          <w:sz w:val="24"/>
          <w:szCs w:val="24"/>
        </w:rPr>
        <w:t>8.1监测分析方法</w:t>
      </w:r>
      <w:bookmarkEnd w:id="52"/>
      <w:bookmarkEnd w:id="53"/>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监测分析方法见表8-1。</w:t>
      </w:r>
    </w:p>
    <w:p>
      <w:pPr>
        <w:pStyle w:val="5"/>
        <w:keepNext w:val="0"/>
        <w:keepLines w:val="0"/>
        <w:pageBreakBefore w:val="0"/>
        <w:widowControl w:val="0"/>
        <w:kinsoku/>
        <w:wordWrap/>
        <w:overflowPunct/>
        <w:topLinePunct w:val="0"/>
        <w:autoSpaceDE/>
        <w:autoSpaceDN/>
        <w:bidi w:val="0"/>
        <w:adjustRightInd w:val="0"/>
        <w:snapToGrid/>
        <w:spacing w:line="400" w:lineRule="exact"/>
        <w:ind w:firstLine="0"/>
        <w:jc w:val="center"/>
        <w:textAlignment w:val="auto"/>
        <w:rPr>
          <w:rFonts w:hint="default" w:ascii="Times New Roman" w:hAnsi="Times New Roman" w:cs="Times New Roman"/>
          <w:b/>
          <w:bCs/>
          <w:color w:val="auto"/>
        </w:rPr>
      </w:pPr>
      <w:r>
        <w:rPr>
          <w:rFonts w:hint="default" w:ascii="Times New Roman" w:hAnsi="Times New Roman" w:cs="Times New Roman"/>
          <w:b/>
          <w:bCs/>
          <w:color w:val="auto"/>
        </w:rPr>
        <w:t>表8-1  分析监测方法一览表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2"/>
        <w:gridCol w:w="1881"/>
        <w:gridCol w:w="57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tcBorders>
              <w:top w:val="single" w:color="auto" w:sz="4" w:space="0"/>
            </w:tcBorders>
            <w:vAlign w:val="center"/>
          </w:tcPr>
          <w:p>
            <w:pPr>
              <w:jc w:val="center"/>
              <w:rPr>
                <w:rFonts w:hint="default" w:ascii="Times New Roman" w:hAnsi="Times New Roman" w:cs="Times New Roman"/>
                <w:sz w:val="21"/>
                <w:szCs w:val="21"/>
              </w:rPr>
            </w:pPr>
            <w:bookmarkStart w:id="54" w:name="_Toc515273923"/>
            <w:r>
              <w:rPr>
                <w:rFonts w:hint="default" w:ascii="Times New Roman" w:hAnsi="Times New Roman" w:cs="Times New Roman"/>
                <w:sz w:val="21"/>
                <w:szCs w:val="21"/>
              </w:rPr>
              <w:t>类型</w:t>
            </w:r>
          </w:p>
        </w:tc>
        <w:tc>
          <w:tcPr>
            <w:tcW w:w="1881"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监测项目</w:t>
            </w:r>
          </w:p>
        </w:tc>
        <w:tc>
          <w:tcPr>
            <w:tcW w:w="5711" w:type="dxa"/>
            <w:tcBorders>
              <w:top w:val="single" w:color="auto" w:sz="4" w:space="0"/>
            </w:tcBorders>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监测分析方法</w:t>
            </w:r>
            <w:r>
              <w:rPr>
                <w:rFonts w:hint="default" w:ascii="Times New Roman" w:hAnsi="Times New Roman" w:cs="Times New Roman"/>
                <w:sz w:val="21"/>
                <w:szCs w:val="21"/>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restart"/>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废水</w:t>
            </w:r>
          </w:p>
        </w:tc>
        <w:tc>
          <w:tcPr>
            <w:tcW w:w="1881"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pH</w:t>
            </w:r>
          </w:p>
        </w:tc>
        <w:tc>
          <w:tcPr>
            <w:tcW w:w="5711"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水质 pH值的测定 玻璃电极法 GB/T 6920-1986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化学需氧量</w:t>
            </w:r>
          </w:p>
        </w:tc>
        <w:tc>
          <w:tcPr>
            <w:tcW w:w="5711" w:type="dxa"/>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水质 化学需氧量的测定 重铬酸盐法 HJ 828-2017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氨氮</w:t>
            </w:r>
          </w:p>
        </w:tc>
        <w:tc>
          <w:tcPr>
            <w:tcW w:w="5711" w:type="dxa"/>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水质 氨氮的测定 纳氏试剂分光光度法 HJ 535-2009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悬浮物</w:t>
            </w:r>
          </w:p>
        </w:tc>
        <w:tc>
          <w:tcPr>
            <w:tcW w:w="5711" w:type="dxa"/>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水质 悬浮物的测定 重量</w:t>
            </w:r>
            <w:r>
              <w:rPr>
                <w:rFonts w:hint="default" w:ascii="Times New Roman" w:hAnsi="Times New Roman" w:cs="Times New Roman"/>
                <w:color w:val="000000"/>
                <w:kern w:val="0"/>
                <w:sz w:val="21"/>
                <w:szCs w:val="21"/>
                <w:lang w:eastAsia="zh-CN"/>
              </w:rPr>
              <w:t>法</w:t>
            </w:r>
            <w:r>
              <w:rPr>
                <w:rFonts w:hint="default" w:ascii="Times New Roman" w:hAnsi="Times New Roman" w:cs="Times New Roman"/>
                <w:color w:val="000000"/>
                <w:kern w:val="0"/>
                <w:sz w:val="21"/>
                <w:szCs w:val="21"/>
                <w:lang w:val="en-US" w:eastAsia="zh-CN"/>
              </w:rPr>
              <w:t xml:space="preserve"> </w:t>
            </w:r>
            <w:r>
              <w:rPr>
                <w:rFonts w:hint="default" w:ascii="Times New Roman" w:hAnsi="Times New Roman" w:cs="Times New Roman"/>
                <w:color w:val="000000"/>
                <w:kern w:val="0"/>
                <w:sz w:val="21"/>
                <w:szCs w:val="21"/>
              </w:rPr>
              <w:t>GB/T 11901-1989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color w:val="000000"/>
                <w:kern w:val="0"/>
                <w:sz w:val="21"/>
                <w:szCs w:val="21"/>
                <w:lang w:eastAsia="zh-CN"/>
              </w:rPr>
              <w:t>五日</w:t>
            </w:r>
            <w:r>
              <w:rPr>
                <w:rFonts w:hint="default" w:ascii="Times New Roman" w:hAnsi="Times New Roman" w:cs="Times New Roman"/>
                <w:color w:val="000000"/>
                <w:kern w:val="0"/>
                <w:sz w:val="21"/>
                <w:szCs w:val="21"/>
              </w:rPr>
              <w:t>生化需氧量</w:t>
            </w:r>
          </w:p>
        </w:tc>
        <w:tc>
          <w:tcPr>
            <w:tcW w:w="5711" w:type="dxa"/>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水质 五日生化需氧量的测定（BOD</w:t>
            </w:r>
            <w:r>
              <w:rPr>
                <w:rFonts w:hint="default" w:ascii="Times New Roman" w:hAnsi="Times New Roman" w:cs="Times New Roman"/>
                <w:color w:val="000000"/>
                <w:kern w:val="0"/>
                <w:sz w:val="21"/>
                <w:szCs w:val="21"/>
                <w:vertAlign w:val="subscript"/>
              </w:rPr>
              <w:t>5</w:t>
            </w:r>
            <w:r>
              <w:rPr>
                <w:rFonts w:hint="default" w:ascii="Times New Roman" w:hAnsi="Times New Roman" w:cs="Times New Roman"/>
                <w:color w:val="000000"/>
                <w:kern w:val="0"/>
                <w:sz w:val="21"/>
                <w:szCs w:val="21"/>
              </w:rPr>
              <w:t>）</w:t>
            </w:r>
          </w:p>
          <w:p>
            <w:pPr>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稀释与接种法</w:t>
            </w:r>
            <w:r>
              <w:rPr>
                <w:rFonts w:hint="default" w:ascii="Times New Roman" w:hAnsi="Times New Roman" w:cs="Times New Roman"/>
                <w:color w:val="000000"/>
                <w:kern w:val="0"/>
                <w:sz w:val="21"/>
                <w:szCs w:val="21"/>
                <w:lang w:val="en-US" w:eastAsia="zh-CN"/>
              </w:rPr>
              <w:t xml:space="preserve"> </w:t>
            </w:r>
            <w:r>
              <w:rPr>
                <w:rFonts w:hint="default" w:ascii="Times New Roman" w:hAnsi="Times New Roman" w:cs="Times New Roman"/>
                <w:color w:val="000000"/>
                <w:kern w:val="0"/>
                <w:sz w:val="21"/>
                <w:szCs w:val="21"/>
              </w:rPr>
              <w:t>HJ 505-2009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keepNext w:val="0"/>
              <w:keepLines w:val="0"/>
              <w:widowControl/>
              <w:suppressLineNumbers w:val="0"/>
              <w:jc w:val="center"/>
              <w:textAlignment w:val="center"/>
              <w:rPr>
                <w:rFonts w:hint="default" w:ascii="Times New Roman" w:hAnsi="Times New Roman" w:cs="Times New Roman"/>
                <w:kern w:val="0"/>
                <w:sz w:val="21"/>
                <w:szCs w:val="21"/>
                <w:lang w:val="en-US" w:eastAsia="zh-CN"/>
              </w:rPr>
            </w:pPr>
            <w:r>
              <w:rPr>
                <w:rFonts w:hint="default" w:ascii="Times New Roman" w:hAnsi="Times New Roman" w:cs="Times New Roman"/>
                <w:color w:val="000000"/>
                <w:kern w:val="0"/>
                <w:sz w:val="21"/>
                <w:szCs w:val="21"/>
                <w:lang w:val="en-US" w:eastAsia="zh-CN"/>
              </w:rPr>
              <w:t>动植物油</w:t>
            </w:r>
          </w:p>
        </w:tc>
        <w:tc>
          <w:tcPr>
            <w:tcW w:w="5711" w:type="dxa"/>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eastAsia="zh-CN"/>
              </w:rPr>
              <w:t>水质</w:t>
            </w:r>
            <w:r>
              <w:rPr>
                <w:rFonts w:hint="default" w:ascii="Times New Roman" w:hAnsi="Times New Roman" w:cs="Times New Roman"/>
                <w:color w:val="000000"/>
                <w:kern w:val="0"/>
                <w:sz w:val="21"/>
                <w:szCs w:val="21"/>
                <w:lang w:val="en-US" w:eastAsia="zh-CN"/>
              </w:rPr>
              <w:t xml:space="preserve"> 石油类和动植物油类的测定</w:t>
            </w:r>
          </w:p>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红外分光光度法 HJ 637-2012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Merge w:val="continue"/>
            <w:vAlign w:val="center"/>
          </w:tcPr>
          <w:p>
            <w:pPr>
              <w:jc w:val="center"/>
              <w:rPr>
                <w:rFonts w:hint="default" w:ascii="Times New Roman" w:hAnsi="Times New Roman" w:cs="Times New Roman"/>
                <w:sz w:val="21"/>
                <w:szCs w:val="21"/>
              </w:rPr>
            </w:pPr>
          </w:p>
        </w:tc>
        <w:tc>
          <w:tcPr>
            <w:tcW w:w="1881"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总磷</w:t>
            </w:r>
          </w:p>
        </w:tc>
        <w:tc>
          <w:tcPr>
            <w:tcW w:w="5711" w:type="dxa"/>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rPr>
              <w:t>水质 总磷的测定 钼酸铵分光光度</w:t>
            </w:r>
            <w:r>
              <w:rPr>
                <w:rFonts w:hint="default" w:ascii="Times New Roman" w:hAnsi="Times New Roman" w:cs="Times New Roman"/>
                <w:color w:val="000000"/>
                <w:kern w:val="0"/>
                <w:sz w:val="21"/>
                <w:szCs w:val="21"/>
                <w:lang w:eastAsia="zh-CN"/>
              </w:rPr>
              <w:t>法</w:t>
            </w:r>
            <w:r>
              <w:rPr>
                <w:rFonts w:hint="default" w:ascii="Times New Roman" w:hAnsi="Times New Roman" w:cs="Times New Roman"/>
                <w:color w:val="000000"/>
                <w:kern w:val="0"/>
                <w:sz w:val="21"/>
                <w:szCs w:val="21"/>
                <w:lang w:val="en-US" w:eastAsia="zh-CN"/>
              </w:rPr>
              <w:t xml:space="preserve"> </w:t>
            </w:r>
            <w:r>
              <w:rPr>
                <w:rFonts w:hint="default" w:ascii="Times New Roman" w:hAnsi="Times New Roman" w:cs="Times New Roman"/>
                <w:color w:val="000000"/>
                <w:kern w:val="0"/>
                <w:sz w:val="21"/>
                <w:szCs w:val="21"/>
              </w:rPr>
              <w:t>GB/T 11893-1989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1881" w:type="dxa"/>
            <w:vAlign w:val="center"/>
          </w:tcPr>
          <w:p>
            <w:pPr>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非甲烷总烃</w:t>
            </w:r>
          </w:p>
        </w:tc>
        <w:tc>
          <w:tcPr>
            <w:tcW w:w="5711" w:type="dxa"/>
            <w:vAlign w:val="center"/>
          </w:tcPr>
          <w:p>
            <w:pPr>
              <w:jc w:val="center"/>
              <w:rPr>
                <w:rFonts w:hint="eastAsia" w:ascii="Times New Roman" w:hAnsi="Times New Roman" w:eastAsia="宋体" w:cs="Times New Roman"/>
                <w:sz w:val="23"/>
                <w:szCs w:val="23"/>
                <w:lang w:val="en-US" w:eastAsia="zh-CN"/>
              </w:rPr>
            </w:pPr>
            <w:r>
              <w:rPr>
                <w:rFonts w:hint="default" w:ascii="Times New Roman" w:hAnsi="Times New Roman" w:eastAsia="宋体" w:cs="Times New Roman"/>
                <w:sz w:val="23"/>
                <w:szCs w:val="23"/>
              </w:rPr>
              <w:t>固定污染源</w:t>
            </w:r>
            <w:r>
              <w:rPr>
                <w:rFonts w:hint="eastAsia" w:ascii="Times New Roman" w:hAnsi="Times New Roman" w:eastAsia="宋体" w:cs="Times New Roman"/>
                <w:sz w:val="23"/>
                <w:szCs w:val="23"/>
                <w:lang w:eastAsia="zh-CN"/>
              </w:rPr>
              <w:t>废气</w:t>
            </w:r>
            <w:r>
              <w:rPr>
                <w:rFonts w:hint="eastAsia" w:ascii="Times New Roman" w:hAnsi="Times New Roman" w:eastAsia="宋体" w:cs="Times New Roman"/>
                <w:sz w:val="23"/>
                <w:szCs w:val="23"/>
                <w:lang w:val="en-US" w:eastAsia="zh-CN"/>
              </w:rPr>
              <w:t xml:space="preserve"> 总烃、甲烷和</w:t>
            </w:r>
          </w:p>
          <w:p>
            <w:pPr>
              <w:widowControl/>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eastAsia="宋体" w:cs="Times New Roman"/>
                <w:sz w:val="23"/>
                <w:szCs w:val="23"/>
                <w:lang w:val="en-US" w:eastAsia="zh-CN"/>
              </w:rPr>
              <w:t>非甲烷总烃的测定 气相色谱法 HJ 38-2017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1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1881"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厂界噪声</w:t>
            </w:r>
          </w:p>
        </w:tc>
        <w:tc>
          <w:tcPr>
            <w:tcW w:w="571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工业企业厂界环境噪声排放标准 GB 12348-2008</w:t>
            </w:r>
          </w:p>
        </w:tc>
      </w:tr>
    </w:tbl>
    <w:p>
      <w:pPr>
        <w:bidi w:val="0"/>
        <w:rPr>
          <w:rFonts w:hint="default"/>
        </w:rPr>
      </w:pP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sz w:val="24"/>
          <w:szCs w:val="24"/>
        </w:rPr>
      </w:pPr>
      <w:bookmarkStart w:id="55" w:name="_Toc5895"/>
      <w:r>
        <w:rPr>
          <w:rFonts w:hint="default" w:ascii="Times New Roman" w:hAnsi="Times New Roman" w:eastAsia="宋体" w:cs="Times New Roman"/>
          <w:sz w:val="24"/>
          <w:szCs w:val="24"/>
        </w:rPr>
        <w:t>8.2监测仪器</w:t>
      </w:r>
      <w:bookmarkEnd w:id="54"/>
      <w:bookmarkEnd w:id="55"/>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监测仪器见表8-2。</w:t>
      </w:r>
    </w:p>
    <w:p>
      <w:pPr>
        <w:pStyle w:val="5"/>
        <w:snapToGrid/>
        <w:spacing w:line="240" w:lineRule="auto"/>
        <w:ind w:firstLine="0"/>
        <w:jc w:val="center"/>
        <w:rPr>
          <w:rFonts w:hint="default" w:ascii="Times New Roman" w:hAnsi="Times New Roman" w:cs="Times New Roman"/>
          <w:b/>
          <w:bCs/>
          <w:color w:val="auto"/>
        </w:rPr>
      </w:pPr>
      <w:bookmarkStart w:id="56" w:name="_Toc515273924"/>
      <w:r>
        <w:rPr>
          <w:rFonts w:hint="default" w:ascii="Times New Roman" w:hAnsi="Times New Roman" w:cs="Times New Roman"/>
          <w:b/>
          <w:bCs/>
          <w:color w:val="auto"/>
        </w:rPr>
        <w:t>表8-2  分析监测方法一览表</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1724"/>
        <w:gridCol w:w="2240"/>
        <w:gridCol w:w="1483"/>
        <w:gridCol w:w="20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053"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1724"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监测项目</w:t>
            </w:r>
          </w:p>
        </w:tc>
        <w:tc>
          <w:tcPr>
            <w:tcW w:w="2240"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仪器</w:t>
            </w:r>
          </w:p>
        </w:tc>
        <w:tc>
          <w:tcPr>
            <w:tcW w:w="1483"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型号</w:t>
            </w:r>
          </w:p>
        </w:tc>
        <w:tc>
          <w:tcPr>
            <w:tcW w:w="2004" w:type="dxa"/>
            <w:tcBorders>
              <w:top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自校准或检定校准或计量检定情况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restart"/>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废水</w:t>
            </w:r>
          </w:p>
        </w:tc>
        <w:tc>
          <w:tcPr>
            <w:tcW w:w="1724"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pH</w:t>
            </w:r>
          </w:p>
        </w:tc>
        <w:tc>
          <w:tcPr>
            <w:tcW w:w="2240" w:type="dxa"/>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pH计</w:t>
            </w:r>
          </w:p>
        </w:tc>
        <w:tc>
          <w:tcPr>
            <w:tcW w:w="1483"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DELTA-320</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化学需氧量</w:t>
            </w:r>
          </w:p>
        </w:tc>
        <w:tc>
          <w:tcPr>
            <w:tcW w:w="2240" w:type="dxa"/>
            <w:vAlign w:val="center"/>
          </w:tcPr>
          <w:p>
            <w:pPr>
              <w:widowControl/>
              <w:jc w:val="center"/>
              <w:textAlignment w:val="bottom"/>
              <w:rPr>
                <w:rFonts w:hint="default" w:ascii="Times New Roman" w:hAnsi="Times New Roman" w:cs="Times New Roman"/>
                <w:sz w:val="21"/>
                <w:szCs w:val="21"/>
              </w:rPr>
            </w:pPr>
            <w:r>
              <w:rPr>
                <w:rFonts w:hint="default" w:ascii="Times New Roman" w:hAnsi="Times New Roman" w:cs="Times New Roman"/>
                <w:color w:val="000000"/>
                <w:kern w:val="0"/>
                <w:sz w:val="21"/>
                <w:szCs w:val="21"/>
              </w:rPr>
              <w:t>酸式滴定管50mL</w:t>
            </w:r>
          </w:p>
        </w:tc>
        <w:tc>
          <w:tcPr>
            <w:tcW w:w="1483"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氨氮</w:t>
            </w:r>
          </w:p>
        </w:tc>
        <w:tc>
          <w:tcPr>
            <w:tcW w:w="2240" w:type="dxa"/>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kern w:val="0"/>
                <w:sz w:val="21"/>
                <w:szCs w:val="21"/>
              </w:rPr>
              <w:t>紫外可见分光光度计</w:t>
            </w:r>
          </w:p>
        </w:tc>
        <w:tc>
          <w:tcPr>
            <w:tcW w:w="1483"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kern w:val="0"/>
                <w:sz w:val="21"/>
                <w:szCs w:val="21"/>
                <w:lang w:val="en-US" w:eastAsia="zh-CN"/>
              </w:rPr>
              <w:t>UV</w:t>
            </w:r>
            <w:r>
              <w:rPr>
                <w:rFonts w:hint="default" w:ascii="Times New Roman" w:hAnsi="Times New Roman" w:cs="Times New Roman"/>
                <w:color w:val="000000"/>
                <w:kern w:val="0"/>
                <w:sz w:val="21"/>
                <w:szCs w:val="21"/>
              </w:rPr>
              <w:t>75</w:t>
            </w:r>
            <w:r>
              <w:rPr>
                <w:rFonts w:hint="default" w:ascii="Times New Roman" w:hAnsi="Times New Roman" w:cs="Times New Roman"/>
                <w:color w:val="000000"/>
                <w:kern w:val="0"/>
                <w:sz w:val="21"/>
                <w:szCs w:val="21"/>
                <w:lang w:val="en-US" w:eastAsia="zh-CN"/>
              </w:rPr>
              <w:t>4</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悬浮物</w:t>
            </w:r>
          </w:p>
        </w:tc>
        <w:tc>
          <w:tcPr>
            <w:tcW w:w="2240" w:type="dxa"/>
            <w:vAlign w:val="center"/>
          </w:tcPr>
          <w:p>
            <w:pPr>
              <w:keepNext w:val="0"/>
              <w:keepLines w:val="0"/>
              <w:widowControl/>
              <w:suppressLineNumbers w:val="0"/>
              <w:jc w:val="center"/>
              <w:textAlignment w:val="bottom"/>
              <w:rPr>
                <w:rFonts w:hint="default" w:ascii="Times New Roman" w:hAnsi="Times New Roman" w:cs="Times New Roman"/>
                <w:sz w:val="21"/>
                <w:szCs w:val="21"/>
              </w:rPr>
            </w:pPr>
            <w:r>
              <w:rPr>
                <w:rFonts w:hint="default" w:ascii="Times New Roman" w:hAnsi="Times New Roman" w:cs="Times New Roman"/>
                <w:color w:val="000000"/>
                <w:kern w:val="0"/>
                <w:sz w:val="21"/>
                <w:szCs w:val="21"/>
              </w:rPr>
              <w:t>电子</w:t>
            </w:r>
            <w:r>
              <w:rPr>
                <w:rFonts w:hint="default" w:ascii="Times New Roman" w:hAnsi="Times New Roman" w:cs="Times New Roman"/>
                <w:color w:val="000000"/>
                <w:kern w:val="0"/>
                <w:sz w:val="21"/>
                <w:szCs w:val="21"/>
                <w:lang w:eastAsia="zh-CN"/>
              </w:rPr>
              <w:t>分析</w:t>
            </w:r>
            <w:r>
              <w:rPr>
                <w:rFonts w:hint="default" w:ascii="Times New Roman" w:hAnsi="Times New Roman" w:cs="Times New Roman"/>
                <w:color w:val="000000"/>
                <w:kern w:val="0"/>
                <w:sz w:val="21"/>
                <w:szCs w:val="21"/>
              </w:rPr>
              <w:t>天平</w:t>
            </w:r>
          </w:p>
        </w:tc>
        <w:tc>
          <w:tcPr>
            <w:tcW w:w="1483" w:type="dxa"/>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val="en-US" w:eastAsia="zh-CN"/>
              </w:rPr>
              <w:t>TP-114</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color w:val="000000"/>
                <w:kern w:val="0"/>
                <w:sz w:val="21"/>
                <w:szCs w:val="21"/>
                <w:lang w:eastAsia="zh-CN"/>
              </w:rPr>
              <w:t>五日</w:t>
            </w:r>
            <w:r>
              <w:rPr>
                <w:rFonts w:hint="default" w:ascii="Times New Roman" w:hAnsi="Times New Roman" w:cs="Times New Roman"/>
                <w:color w:val="000000"/>
                <w:kern w:val="0"/>
                <w:sz w:val="21"/>
                <w:szCs w:val="21"/>
              </w:rPr>
              <w:t>生化需氧量</w:t>
            </w:r>
          </w:p>
        </w:tc>
        <w:tc>
          <w:tcPr>
            <w:tcW w:w="2240" w:type="dxa"/>
            <w:vAlign w:val="center"/>
          </w:tcPr>
          <w:p>
            <w:pPr>
              <w:keepNext w:val="0"/>
              <w:keepLines w:val="0"/>
              <w:widowControl/>
              <w:suppressLineNumbers w:val="0"/>
              <w:jc w:val="center"/>
              <w:textAlignment w:val="bottom"/>
              <w:rPr>
                <w:rFonts w:hint="default" w:ascii="Times New Roman" w:hAnsi="Times New Roman" w:cs="Times New Roman" w:eastAsiaTheme="minorEastAsia"/>
                <w:kern w:val="0"/>
                <w:sz w:val="21"/>
                <w:szCs w:val="21"/>
                <w:lang w:eastAsia="zh-CN"/>
              </w:rPr>
            </w:pPr>
            <w:r>
              <w:rPr>
                <w:rFonts w:hint="default" w:ascii="Times New Roman" w:hAnsi="Times New Roman" w:cs="Times New Roman"/>
                <w:color w:val="000000"/>
                <w:kern w:val="0"/>
                <w:sz w:val="21"/>
                <w:szCs w:val="21"/>
                <w:lang w:val="en-US" w:eastAsia="zh-CN"/>
              </w:rPr>
              <w:t>滴定管</w:t>
            </w:r>
          </w:p>
        </w:tc>
        <w:tc>
          <w:tcPr>
            <w:tcW w:w="1483" w:type="dxa"/>
            <w:vAlign w:val="center"/>
          </w:tcPr>
          <w:p>
            <w:pPr>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1"/>
                <w:szCs w:val="21"/>
                <w:lang w:eastAsia="zh-CN"/>
              </w:rPr>
            </w:pPr>
            <w:r>
              <w:rPr>
                <w:rFonts w:hint="default" w:ascii="Times New Roman" w:hAnsi="Times New Roman" w:cs="Times New Roman"/>
                <w:color w:val="000000"/>
                <w:kern w:val="0"/>
                <w:sz w:val="21"/>
                <w:szCs w:val="21"/>
                <w:lang w:val="en-US" w:eastAsia="zh-CN"/>
              </w:rPr>
              <w:t>动植物油</w:t>
            </w:r>
          </w:p>
        </w:tc>
        <w:tc>
          <w:tcPr>
            <w:tcW w:w="2240" w:type="dxa"/>
            <w:vAlign w:val="center"/>
          </w:tcPr>
          <w:p>
            <w:pPr>
              <w:keepNext w:val="0"/>
              <w:keepLines w:val="0"/>
              <w:widowControl/>
              <w:suppressLineNumbers w:val="0"/>
              <w:jc w:val="center"/>
              <w:textAlignment w:val="bottom"/>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eastAsia="zh-CN"/>
              </w:rPr>
              <w:t>红外测油仪</w:t>
            </w:r>
          </w:p>
        </w:tc>
        <w:tc>
          <w:tcPr>
            <w:tcW w:w="1483" w:type="dxa"/>
            <w:vAlign w:val="center"/>
          </w:tcPr>
          <w:p>
            <w:pPr>
              <w:jc w:val="center"/>
              <w:rPr>
                <w:rFonts w:hint="default" w:ascii="Times New Roman" w:hAnsi="Times New Roman" w:cs="Times New Roman"/>
                <w:kern w:val="0"/>
                <w:sz w:val="21"/>
                <w:szCs w:val="21"/>
                <w:lang w:val="en-US" w:eastAsia="zh-CN"/>
              </w:rPr>
            </w:pPr>
            <w:r>
              <w:rPr>
                <w:rFonts w:hint="default" w:ascii="Times New Roman" w:hAnsi="Times New Roman" w:cs="Times New Roman"/>
                <w:color w:val="000000"/>
                <w:kern w:val="0"/>
                <w:sz w:val="21"/>
                <w:szCs w:val="21"/>
                <w:lang w:val="en-US" w:eastAsia="zh-CN"/>
              </w:rPr>
              <w:t xml:space="preserve"> OIL 460</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Merge w:val="continue"/>
            <w:vAlign w:val="center"/>
          </w:tcPr>
          <w:p>
            <w:pPr>
              <w:jc w:val="center"/>
              <w:rPr>
                <w:rFonts w:hint="default" w:ascii="Times New Roman" w:hAnsi="Times New Roman" w:cs="Times New Roman"/>
                <w:sz w:val="21"/>
                <w:szCs w:val="21"/>
              </w:rPr>
            </w:pPr>
          </w:p>
        </w:tc>
        <w:tc>
          <w:tcPr>
            <w:tcW w:w="1724" w:type="dxa"/>
            <w:vAlign w:val="center"/>
          </w:tcPr>
          <w:p>
            <w:pPr>
              <w:keepNext w:val="0"/>
              <w:keepLines w:val="0"/>
              <w:widowControl/>
              <w:suppressLineNumbers w:val="0"/>
              <w:jc w:val="center"/>
              <w:textAlignment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总磷</w:t>
            </w:r>
          </w:p>
        </w:tc>
        <w:tc>
          <w:tcPr>
            <w:tcW w:w="2240" w:type="dxa"/>
            <w:vAlign w:val="center"/>
          </w:tcPr>
          <w:p>
            <w:pPr>
              <w:keepNext w:val="0"/>
              <w:keepLines w:val="0"/>
              <w:widowControl/>
              <w:suppressLineNumbers w:val="0"/>
              <w:jc w:val="center"/>
              <w:textAlignment w:val="bottom"/>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可见分光光度计</w:t>
            </w:r>
          </w:p>
        </w:tc>
        <w:tc>
          <w:tcPr>
            <w:tcW w:w="1483" w:type="dxa"/>
            <w:vAlign w:val="center"/>
          </w:tcPr>
          <w:p>
            <w:pPr>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723</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0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1724" w:type="dxa"/>
            <w:vAlign w:val="center"/>
          </w:tcPr>
          <w:p>
            <w:pPr>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非甲烷总烃</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right="0" w:rightChars="0" w:firstLine="0" w:firstLineChars="0"/>
              <w:jc w:val="center"/>
              <w:textAlignment w:val="bottom"/>
              <w:outlineLvl w:val="9"/>
              <w:rPr>
                <w:rStyle w:val="26"/>
                <w:rFonts w:hint="default" w:ascii="Times New Roman" w:hAnsi="Times New Roman" w:eastAsia="宋体" w:cs="Times New Roman"/>
                <w:sz w:val="21"/>
                <w:szCs w:val="21"/>
                <w:lang w:val="en-US" w:eastAsia="zh-CN" w:bidi="ar"/>
              </w:rPr>
            </w:pPr>
            <w:r>
              <w:rPr>
                <w:rFonts w:hint="eastAsia"/>
                <w:color w:val="auto"/>
                <w:kern w:val="0"/>
                <w:sz w:val="23"/>
                <w:szCs w:val="23"/>
                <w:lang w:val="en-US" w:eastAsia="zh-CN"/>
              </w:rPr>
              <w:t>气相色谱仪</w:t>
            </w:r>
          </w:p>
        </w:tc>
        <w:tc>
          <w:tcPr>
            <w:tcW w:w="1483" w:type="dxa"/>
            <w:vAlign w:val="center"/>
          </w:tcPr>
          <w:p>
            <w:pPr>
              <w:jc w:val="center"/>
              <w:rPr>
                <w:rFonts w:hint="default" w:ascii="Times New Roman" w:hAnsi="Times New Roman" w:cs="Times New Roman"/>
                <w:kern w:val="0"/>
                <w:sz w:val="21"/>
                <w:szCs w:val="21"/>
              </w:rPr>
            </w:pPr>
            <w:r>
              <w:rPr>
                <w:rFonts w:hint="eastAsia" w:ascii="Times New Roman" w:hAnsi="Times New Roman" w:cs="Times New Roman"/>
                <w:color w:val="000000"/>
                <w:kern w:val="0"/>
                <w:sz w:val="21"/>
                <w:szCs w:val="21"/>
                <w:lang w:val="en-US" w:eastAsia="zh-CN"/>
              </w:rPr>
              <w:t>GC9790</w:t>
            </w:r>
          </w:p>
        </w:tc>
        <w:tc>
          <w:tcPr>
            <w:tcW w:w="2004"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已检定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0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172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厂界噪声</w:t>
            </w:r>
          </w:p>
        </w:tc>
        <w:tc>
          <w:tcPr>
            <w:tcW w:w="224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多功能声级计</w:t>
            </w:r>
          </w:p>
        </w:tc>
        <w:tc>
          <w:tcPr>
            <w:tcW w:w="148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AWA</w:t>
            </w:r>
            <w:r>
              <w:rPr>
                <w:rFonts w:hint="default" w:ascii="Times New Roman" w:hAnsi="Times New Roman" w:cs="Times New Roman"/>
                <w:sz w:val="21"/>
                <w:szCs w:val="21"/>
                <w:lang w:val="en-US" w:eastAsia="zh-CN"/>
              </w:rPr>
              <w:t>568</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型</w:t>
            </w:r>
          </w:p>
        </w:tc>
        <w:tc>
          <w:tcPr>
            <w:tcW w:w="2004" w:type="dxa"/>
            <w:vAlign w:val="center"/>
          </w:tcPr>
          <w:p>
            <w:pPr>
              <w:jc w:val="center"/>
              <w:rPr>
                <w:rFonts w:hint="default" w:ascii="Times New Roman" w:hAnsi="Times New Roman" w:cs="Times New Roman"/>
                <w:sz w:val="21"/>
                <w:szCs w:val="21"/>
              </w:rPr>
            </w:pPr>
            <w:r>
              <w:rPr>
                <w:rFonts w:hint="default" w:ascii="Times New Roman" w:hAnsi="Times New Roman" w:cs="Times New Roman"/>
                <w:kern w:val="0"/>
                <w:sz w:val="21"/>
                <w:szCs w:val="21"/>
              </w:rPr>
              <w:t>已检定</w:t>
            </w:r>
          </w:p>
        </w:tc>
      </w:tr>
    </w:tbl>
    <w:p>
      <w:pPr>
        <w:bidi w:val="0"/>
        <w:rPr>
          <w:rFonts w:hint="default"/>
        </w:rPr>
      </w:pPr>
    </w:p>
    <w:p>
      <w:pPr>
        <w:pStyle w:val="3"/>
        <w:spacing w:before="0" w:after="0" w:line="360" w:lineRule="auto"/>
        <w:rPr>
          <w:rFonts w:hint="default" w:ascii="Times New Roman" w:hAnsi="Times New Roman" w:eastAsia="宋体" w:cs="Times New Roman"/>
          <w:sz w:val="24"/>
          <w:szCs w:val="24"/>
        </w:rPr>
      </w:pPr>
      <w:bookmarkStart w:id="57" w:name="_Toc18489"/>
      <w:r>
        <w:rPr>
          <w:rFonts w:hint="default" w:ascii="Times New Roman" w:hAnsi="Times New Roman" w:eastAsia="宋体" w:cs="Times New Roman"/>
          <w:sz w:val="24"/>
          <w:szCs w:val="24"/>
        </w:rPr>
        <w:t>8.3人员资质</w:t>
      </w:r>
      <w:bookmarkEnd w:id="56"/>
      <w:bookmarkEnd w:id="57"/>
    </w:p>
    <w:p>
      <w:pPr>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人员资质详见表8-3。</w:t>
      </w:r>
    </w:p>
    <w:p>
      <w:pPr>
        <w:spacing w:line="440" w:lineRule="exact"/>
        <w:jc w:val="center"/>
        <w:rPr>
          <w:rFonts w:hint="default" w:ascii="Times New Roman" w:hAnsi="Times New Roman" w:cs="Times New Roman"/>
          <w:b/>
          <w:bCs/>
        </w:rPr>
      </w:pPr>
      <w:r>
        <w:rPr>
          <w:rFonts w:hint="default" w:ascii="Times New Roman" w:hAnsi="Times New Roman" w:cs="Times New Roman"/>
          <w:b/>
          <w:bCs/>
        </w:rPr>
        <w:t>表8-3  人员资质一览表</w:t>
      </w:r>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
        <w:gridCol w:w="1110"/>
        <w:gridCol w:w="7"/>
        <w:gridCol w:w="2153"/>
        <w:gridCol w:w="37"/>
        <w:gridCol w:w="1685"/>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1088" w:type="dxa"/>
            <w:noWrap w:val="0"/>
            <w:vAlign w:val="center"/>
          </w:tcPr>
          <w:p>
            <w:pPr>
              <w:spacing w:line="240" w:lineRule="auto"/>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姓名</w:t>
            </w:r>
          </w:p>
        </w:tc>
        <w:tc>
          <w:tcPr>
            <w:tcW w:w="1125" w:type="dxa"/>
            <w:gridSpan w:val="3"/>
            <w:noWrap w:val="0"/>
            <w:vAlign w:val="center"/>
          </w:tcPr>
          <w:p>
            <w:pPr>
              <w:spacing w:line="240" w:lineRule="auto"/>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科室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职务/职称</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上岗证编号</w:t>
            </w:r>
          </w:p>
        </w:tc>
        <w:tc>
          <w:tcPr>
            <w:tcW w:w="2417"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从事本技术领域年限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章水明</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总经理</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技术负责人/工程师</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r>
              <w:rPr>
                <w:rFonts w:hint="default" w:ascii="Times New Roman" w:hAnsi="Times New Roman"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冯</w:t>
            </w:r>
            <w:r>
              <w:rPr>
                <w:rFonts w:hint="default" w:ascii="Times New Roman" w:hAnsi="Times New Roman" w:cs="Times New Roman" w:eastAsiaTheme="minorEastAsia"/>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艳</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综合室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质量负责人/工程师</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r>
              <w:rPr>
                <w:rFonts w:hint="default" w:ascii="Times New Roman" w:hAnsi="Times New Roman"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陈</w:t>
            </w:r>
            <w:r>
              <w:rPr>
                <w:rFonts w:hint="default" w:ascii="Times New Roman" w:hAnsi="Times New Roman" w:cs="Times New Roman" w:eastAsiaTheme="minorEastAsia"/>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超</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助理工程师</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嘉兴威正-003</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r>
              <w:rPr>
                <w:rFonts w:hint="default" w:ascii="Times New Roman" w:hAnsi="Times New Roman"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盖伟槟</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助理工程师</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嘉兴威正-005</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10</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盛玥婷</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嘉兴威正-006</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金昆雷</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嘉兴威正-004</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王珍珍</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嘉兴威正-010</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王琦瑶</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嘉兴威正-011</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费佳帆</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嘉兴威正-013</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万一帆</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嘉兴威正-012</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周</w:t>
            </w:r>
            <w:r>
              <w:rPr>
                <w:rFonts w:hint="default" w:ascii="Times New Roman" w:hAnsi="Times New Roman" w:cs="Times New Roman" w:eastAsiaTheme="minorEastAsia"/>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正</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嘉兴威正-014</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沈智奇</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嘉兴威正-016</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陶佳萍</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嘉兴威正-017</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方敬鹭</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嘉兴威正-018</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8"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沈</w:t>
            </w:r>
            <w:r>
              <w:rPr>
                <w:rFonts w:hint="default" w:ascii="Times New Roman" w:hAnsi="Times New Roman" w:cs="Times New Roman" w:eastAsiaTheme="minorEastAsia"/>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鹏</w:t>
            </w:r>
          </w:p>
        </w:tc>
        <w:tc>
          <w:tcPr>
            <w:tcW w:w="1125" w:type="dxa"/>
            <w:gridSpan w:val="3"/>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检测室</w:t>
            </w:r>
          </w:p>
        </w:tc>
        <w:tc>
          <w:tcPr>
            <w:tcW w:w="2190" w:type="dxa"/>
            <w:gridSpan w:val="2"/>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685"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sz w:val="21"/>
                <w:szCs w:val="21"/>
              </w:rPr>
              <w:t>嘉兴威正-019</w:t>
            </w:r>
          </w:p>
        </w:tc>
        <w:tc>
          <w:tcPr>
            <w:tcW w:w="2417" w:type="dxa"/>
            <w:noWrap w:val="0"/>
            <w:vAlign w:val="center"/>
          </w:tcPr>
          <w:p>
            <w:pPr>
              <w:spacing w:line="240" w:lineRule="auto"/>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6"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sz w:val="21"/>
                <w:szCs w:val="21"/>
              </w:rPr>
              <w:t>陆荪斌</w:t>
            </w:r>
          </w:p>
        </w:tc>
        <w:tc>
          <w:tcPr>
            <w:tcW w:w="1110"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检测室</w:t>
            </w:r>
          </w:p>
        </w:tc>
        <w:tc>
          <w:tcPr>
            <w:tcW w:w="2160"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22" w:type="dxa"/>
            <w:gridSpan w:val="2"/>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嘉兴威正-020</w:t>
            </w:r>
          </w:p>
        </w:tc>
        <w:tc>
          <w:tcPr>
            <w:tcW w:w="2417"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7</w:t>
            </w:r>
            <w:r>
              <w:rPr>
                <w:rFonts w:hint="default" w:ascii="Times New Roman" w:hAnsi="Times New Roman" w:cs="Times New Roman"/>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6"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sz w:val="21"/>
                <w:szCs w:val="21"/>
              </w:rPr>
              <w:t>徐  妍</w:t>
            </w:r>
          </w:p>
        </w:tc>
        <w:tc>
          <w:tcPr>
            <w:tcW w:w="1110"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检测室</w:t>
            </w:r>
          </w:p>
        </w:tc>
        <w:tc>
          <w:tcPr>
            <w:tcW w:w="2160"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22" w:type="dxa"/>
            <w:gridSpan w:val="2"/>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嘉兴威正-021</w:t>
            </w:r>
          </w:p>
        </w:tc>
        <w:tc>
          <w:tcPr>
            <w:tcW w:w="2417"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2</w:t>
            </w:r>
            <w:r>
              <w:rPr>
                <w:rFonts w:hint="default" w:ascii="Times New Roman" w:hAnsi="Times New Roman" w:cs="Times New Roman"/>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6"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sz w:val="21"/>
                <w:szCs w:val="21"/>
              </w:rPr>
              <w:t>黄鉏杰</w:t>
            </w:r>
          </w:p>
        </w:tc>
        <w:tc>
          <w:tcPr>
            <w:tcW w:w="1110"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检测室</w:t>
            </w:r>
          </w:p>
        </w:tc>
        <w:tc>
          <w:tcPr>
            <w:tcW w:w="2160"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22" w:type="dxa"/>
            <w:gridSpan w:val="2"/>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嘉兴威正-022</w:t>
            </w:r>
          </w:p>
        </w:tc>
        <w:tc>
          <w:tcPr>
            <w:tcW w:w="2417"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2</w:t>
            </w:r>
            <w:r>
              <w:rPr>
                <w:rFonts w:hint="default" w:ascii="Times New Roman" w:hAnsi="Times New Roman" w:cs="Times New Roman"/>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6"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sz w:val="21"/>
                <w:szCs w:val="21"/>
              </w:rPr>
              <w:t>顾烨婷</w:t>
            </w:r>
          </w:p>
        </w:tc>
        <w:tc>
          <w:tcPr>
            <w:tcW w:w="1110"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检测室</w:t>
            </w:r>
          </w:p>
        </w:tc>
        <w:tc>
          <w:tcPr>
            <w:tcW w:w="2160" w:type="dxa"/>
            <w:gridSpan w:val="2"/>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22" w:type="dxa"/>
            <w:gridSpan w:val="2"/>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嘉兴威正-023</w:t>
            </w:r>
          </w:p>
        </w:tc>
        <w:tc>
          <w:tcPr>
            <w:tcW w:w="2417" w:type="dxa"/>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4</w:t>
            </w:r>
            <w:r>
              <w:rPr>
                <w:rFonts w:hint="default" w:ascii="Times New Roman" w:hAnsi="Times New Roman" w:cs="Times New Roman"/>
                <w:kern w:val="0"/>
                <w:sz w:val="21"/>
                <w:szCs w:val="21"/>
              </w:rPr>
              <w:t>年</w:t>
            </w:r>
          </w:p>
        </w:tc>
      </w:tr>
    </w:tbl>
    <w:p>
      <w:pPr>
        <w:rPr>
          <w:rFonts w:hint="default" w:ascii="Times New Roman" w:hAnsi="Times New Roman" w:cs="Times New Roman"/>
          <w:lang w:val="en-US" w:eastAsia="zh-CN"/>
        </w:rPr>
      </w:pPr>
    </w:p>
    <w:p>
      <w:pPr>
        <w:pStyle w:val="3"/>
        <w:spacing w:before="0" w:after="0" w:line="360" w:lineRule="auto"/>
        <w:rPr>
          <w:rFonts w:hint="default" w:ascii="Times New Roman" w:hAnsi="Times New Roman" w:eastAsia="宋体" w:cs="Times New Roman"/>
          <w:sz w:val="24"/>
          <w:szCs w:val="24"/>
        </w:rPr>
      </w:pPr>
      <w:bookmarkStart w:id="58" w:name="_Toc8671"/>
      <w:r>
        <w:rPr>
          <w:rFonts w:hint="default" w:ascii="Times New Roman" w:hAnsi="Times New Roman" w:eastAsia="宋体" w:cs="Times New Roman"/>
          <w:sz w:val="24"/>
          <w:szCs w:val="24"/>
        </w:rPr>
        <w:t>8.4 水质监测分析过程中的质量保证和质量控制</w:t>
      </w:r>
      <w:bookmarkEnd w:id="58"/>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水样的采集、运输、保存、实验室分析和数据计算的全过程均按《</w:t>
      </w:r>
      <w:r>
        <w:rPr>
          <w:rFonts w:hint="default" w:ascii="Times New Roman" w:hAnsi="Times New Roman" w:cs="Times New Roman" w:eastAsiaTheme="minorEastAsia"/>
          <w:sz w:val="24"/>
          <w:lang w:val="en-US" w:eastAsia="zh-CN"/>
        </w:rPr>
        <w:t>水和废水监测分析方法</w:t>
      </w:r>
      <w:r>
        <w:rPr>
          <w:rFonts w:hint="default" w:ascii="Times New Roman" w:hAnsi="Times New Roman" w:cs="Times New Roman" w:eastAsiaTheme="minorEastAsia"/>
          <w:sz w:val="24"/>
        </w:rPr>
        <w:t>》（第四版</w:t>
      </w:r>
      <w:r>
        <w:rPr>
          <w:rFonts w:hint="default" w:ascii="Times New Roman" w:hAnsi="Times New Roman" w:cs="Times New Roman" w:eastAsiaTheme="minorEastAsia"/>
          <w:sz w:val="24"/>
          <w:lang w:val="en-US" w:eastAsia="zh-CN"/>
        </w:rPr>
        <w:t>增补版</w:t>
      </w:r>
      <w:r>
        <w:rPr>
          <w:rFonts w:hint="default" w:ascii="Times New Roman" w:hAnsi="Times New Roman" w:cs="Times New Roman" w:eastAsiaTheme="minorEastAsia"/>
          <w:sz w:val="24"/>
        </w:rPr>
        <w:t>）的要求进行。</w:t>
      </w:r>
    </w:p>
    <w:p>
      <w:pPr>
        <w:pStyle w:val="3"/>
        <w:spacing w:before="0" w:after="0" w:line="360" w:lineRule="auto"/>
        <w:rPr>
          <w:rFonts w:hint="default" w:ascii="Times New Roman" w:hAnsi="Times New Roman" w:eastAsia="宋体" w:cs="Times New Roman"/>
          <w:sz w:val="24"/>
          <w:szCs w:val="24"/>
          <w:lang w:val="en-US" w:eastAsia="zh-CN"/>
        </w:rPr>
      </w:pPr>
      <w:bookmarkStart w:id="59" w:name="_Toc27048"/>
      <w:r>
        <w:rPr>
          <w:rFonts w:hint="default" w:ascii="Times New Roman" w:hAnsi="Times New Roman" w:eastAsia="宋体" w:cs="Times New Roman"/>
          <w:sz w:val="24"/>
          <w:szCs w:val="24"/>
          <w:lang w:val="en-US" w:eastAsia="zh-CN"/>
        </w:rPr>
        <w:t>8.5废气监测分析过程中的质量保证和质量控制</w:t>
      </w:r>
      <w:bookmarkEnd w:id="59"/>
    </w:p>
    <w:p>
      <w:pPr>
        <w:autoSpaceDE w:val="0"/>
        <w:autoSpaceDN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实行全过程的质量保证，</w:t>
      </w:r>
      <w:r>
        <w:rPr>
          <w:rFonts w:hint="eastAsia" w:ascii="Times New Roman" w:hAnsi="Times New Roman" w:cs="Times New Roman"/>
          <w:sz w:val="24"/>
          <w:szCs w:val="24"/>
          <w:lang w:val="en-US" w:eastAsia="zh-CN"/>
        </w:rPr>
        <w:t>按《环境监测技术规范》和《固定污染源监测质量保证与质量控制技术规范（试行）》（HJ/T373-2007）中的要求进行全过程质量控制。</w:t>
      </w:r>
      <w:r>
        <w:rPr>
          <w:rFonts w:hint="default" w:ascii="Times New Roman" w:hAnsi="Times New Roman" w:cs="Times New Roman"/>
          <w:sz w:val="24"/>
          <w:szCs w:val="24"/>
          <w:lang w:val="en-US" w:eastAsia="zh-CN"/>
        </w:rPr>
        <w:t>有组织排放源监测技术要求执行《固定污染源排气中颗粒物测定与气态污染物采样方法》（GB/T16157-1996）、《固定源废气监测技术规范》（HJ/397-2007）、《固定污染源监测质量保证和质量控制技术规范（试行）》（HJ/373-2007）。</w:t>
      </w:r>
    </w:p>
    <w:p>
      <w:pPr>
        <w:pStyle w:val="3"/>
        <w:spacing w:before="0" w:after="0" w:line="360" w:lineRule="auto"/>
        <w:rPr>
          <w:rFonts w:hint="default" w:ascii="Times New Roman" w:hAnsi="Times New Roman" w:eastAsia="宋体" w:cs="Times New Roman"/>
          <w:sz w:val="24"/>
          <w:szCs w:val="24"/>
          <w:lang w:val="en-US" w:eastAsia="zh-CN"/>
        </w:rPr>
      </w:pPr>
      <w:bookmarkStart w:id="60" w:name="_Toc32462"/>
      <w:r>
        <w:rPr>
          <w:rFonts w:hint="default" w:ascii="Times New Roman" w:hAnsi="Times New Roman" w:eastAsia="宋体" w:cs="Times New Roman"/>
          <w:sz w:val="24"/>
          <w:szCs w:val="24"/>
          <w:lang w:val="en-US" w:eastAsia="zh-CN"/>
        </w:rPr>
        <w:t>8.6 噪声监测分析过程中的质量保证和质量控制</w:t>
      </w:r>
      <w:bookmarkEnd w:id="60"/>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声级计在测试前后用标准发生源进行校准，测量前后仪器的灵敏度相差不大于0.5dB。</w:t>
      </w:r>
    </w:p>
    <w:p>
      <w:pPr>
        <w:pStyle w:val="2"/>
        <w:numPr>
          <w:ilvl w:val="0"/>
          <w:numId w:val="1"/>
        </w:numPr>
        <w:spacing w:before="0" w:after="0" w:line="360" w:lineRule="auto"/>
        <w:ind w:left="0" w:leftChars="0" w:firstLine="0" w:firstLineChars="0"/>
        <w:rPr>
          <w:rFonts w:hint="default" w:ascii="Times New Roman" w:hAnsi="Times New Roman" w:cs="Times New Roman"/>
          <w:sz w:val="24"/>
          <w:szCs w:val="24"/>
        </w:rPr>
      </w:pPr>
      <w:bookmarkStart w:id="61" w:name="_Toc515273928"/>
      <w:bookmarkStart w:id="62" w:name="_Toc31181"/>
      <w:r>
        <w:rPr>
          <w:rFonts w:hint="default" w:ascii="Times New Roman" w:hAnsi="Times New Roman" w:cs="Times New Roman"/>
          <w:sz w:val="24"/>
          <w:szCs w:val="24"/>
        </w:rPr>
        <w:t>验收监测结果</w:t>
      </w:r>
      <w:bookmarkEnd w:id="61"/>
      <w:bookmarkEnd w:id="62"/>
    </w:p>
    <w:p>
      <w:pPr>
        <w:pStyle w:val="3"/>
        <w:spacing w:before="0" w:after="0" w:line="360" w:lineRule="auto"/>
        <w:rPr>
          <w:rFonts w:hint="default" w:ascii="Times New Roman" w:hAnsi="Times New Roman" w:eastAsia="宋体" w:cs="Times New Roman"/>
          <w:sz w:val="24"/>
          <w:szCs w:val="24"/>
        </w:rPr>
      </w:pPr>
      <w:bookmarkStart w:id="63" w:name="_Toc6570"/>
      <w:bookmarkStart w:id="64" w:name="_Toc515273929"/>
      <w:r>
        <w:rPr>
          <w:rFonts w:hint="default" w:ascii="Times New Roman" w:hAnsi="Times New Roman" w:eastAsia="宋体" w:cs="Times New Roman"/>
          <w:sz w:val="24"/>
          <w:szCs w:val="24"/>
        </w:rPr>
        <w:t>9.1生产工况</w:t>
      </w:r>
      <w:bookmarkEnd w:id="63"/>
      <w:bookmarkEnd w:id="64"/>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验收监测期间</w:t>
      </w:r>
      <w:r>
        <w:rPr>
          <w:rFonts w:hint="default" w:ascii="Times New Roman" w:hAnsi="Times New Roman" w:cs="Times New Roman"/>
          <w:sz w:val="24"/>
          <w:szCs w:val="24"/>
          <w:lang w:val="en-US" w:eastAsia="zh-CN"/>
        </w:rPr>
        <w:t>各设备运转正常，企业生产负荷为</w:t>
      </w:r>
      <w:r>
        <w:rPr>
          <w:rFonts w:hint="eastAsia" w:ascii="Times New Roman" w:hAnsi="Times New Roman" w:cs="Times New Roman"/>
          <w:sz w:val="24"/>
          <w:szCs w:val="24"/>
          <w:lang w:val="en-US" w:eastAsia="zh-CN"/>
        </w:rPr>
        <w:t>81.4</w:t>
      </w:r>
      <w:r>
        <w:rPr>
          <w:rFonts w:hint="default" w:ascii="Times New Roman" w:hAnsi="Times New Roman" w:cs="Times New Roman"/>
          <w:sz w:val="24"/>
          <w:szCs w:val="24"/>
          <w:lang w:val="en-US" w:eastAsia="zh-CN"/>
        </w:rPr>
        <w:t>%，具体</w:t>
      </w:r>
      <w:r>
        <w:rPr>
          <w:rFonts w:hint="default" w:ascii="Times New Roman" w:hAnsi="Times New Roman" w:cs="Times New Roman"/>
          <w:sz w:val="24"/>
          <w:szCs w:val="24"/>
        </w:rPr>
        <w:t>见表9-1。</w:t>
      </w:r>
    </w:p>
    <w:p>
      <w:pPr>
        <w:pStyle w:val="27"/>
        <w:keepNext w:val="0"/>
        <w:keepLines w:val="0"/>
        <w:pageBreakBefore w:val="0"/>
        <w:widowControl/>
        <w:kinsoku/>
        <w:wordWrap/>
        <w:overflowPunct/>
        <w:topLinePunct w:val="0"/>
        <w:autoSpaceDE/>
        <w:autoSpaceDN/>
        <w:bidi w:val="0"/>
        <w:adjustRightInd/>
        <w:snapToGrid/>
        <w:spacing w:beforeLines="0" w:afterLines="0" w:line="400" w:lineRule="exact"/>
        <w:textAlignment w:val="auto"/>
        <w:outlineLvl w:val="9"/>
        <w:rPr>
          <w:rFonts w:hint="default" w:ascii="Times New Roman" w:hAnsi="Times New Roman" w:cs="Times New Roman"/>
          <w:b/>
          <w:bCs/>
          <w:sz w:val="21"/>
          <w:szCs w:val="21"/>
          <w:lang w:eastAsia="zh-CN"/>
        </w:rPr>
      </w:pPr>
      <w:r>
        <w:rPr>
          <w:rFonts w:hint="default" w:ascii="Times New Roman" w:hAnsi="Times New Roman" w:cs="Times New Roman"/>
          <w:b/>
          <w:bCs/>
          <w:sz w:val="21"/>
          <w:szCs w:val="21"/>
        </w:rPr>
        <w:t xml:space="preserve">  表9-1  验收监测期间生产负荷</w:t>
      </w:r>
    </w:p>
    <w:tbl>
      <w:tblPr>
        <w:tblStyle w:val="16"/>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05"/>
        <w:gridCol w:w="1230"/>
        <w:gridCol w:w="1261"/>
        <w:gridCol w:w="1379"/>
        <w:gridCol w:w="1156"/>
        <w:gridCol w:w="876"/>
        <w:gridCol w:w="9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05" w:type="dxa"/>
            <w:vAlign w:val="center"/>
          </w:tcPr>
          <w:p>
            <w:pPr>
              <w:spacing w:line="240" w:lineRule="auto"/>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产品名称</w:t>
            </w:r>
          </w:p>
        </w:tc>
        <w:tc>
          <w:tcPr>
            <w:tcW w:w="1230" w:type="dxa"/>
            <w:tcBorders>
              <w:right w:val="single" w:color="auto" w:sz="4" w:space="0"/>
            </w:tcBorders>
            <w:vAlign w:val="center"/>
          </w:tcPr>
          <w:p>
            <w:pPr>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sz w:val="18"/>
                <w:szCs w:val="18"/>
              </w:rPr>
              <w:t>环评年产量（</w:t>
            </w:r>
            <w:r>
              <w:rPr>
                <w:rFonts w:hint="eastAsia" w:ascii="Times New Roman" w:hAnsi="Times New Roman" w:cs="Times New Roman"/>
                <w:sz w:val="18"/>
                <w:szCs w:val="18"/>
                <w:lang w:val="en-US" w:eastAsia="zh-CN"/>
              </w:rPr>
              <w:t>万套</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件/a</w:t>
            </w:r>
            <w:r>
              <w:rPr>
                <w:rFonts w:hint="default" w:ascii="Times New Roman" w:hAnsi="Times New Roman" w:cs="Times New Roman"/>
                <w:sz w:val="18"/>
                <w:szCs w:val="18"/>
              </w:rPr>
              <w:t>）</w:t>
            </w:r>
          </w:p>
        </w:tc>
        <w:tc>
          <w:tcPr>
            <w:tcW w:w="1261" w:type="dxa"/>
            <w:tcBorders>
              <w:lef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验收达产年产量</w:t>
            </w:r>
          </w:p>
          <w:p>
            <w:pPr>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sz w:val="18"/>
                <w:szCs w:val="18"/>
              </w:rPr>
              <w:t>（</w:t>
            </w:r>
            <w:r>
              <w:rPr>
                <w:rFonts w:hint="eastAsia" w:ascii="Times New Roman" w:hAnsi="Times New Roman" w:cs="Times New Roman"/>
                <w:sz w:val="18"/>
                <w:szCs w:val="18"/>
                <w:lang w:val="en-US" w:eastAsia="zh-CN"/>
              </w:rPr>
              <w:t>万套</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件/a</w:t>
            </w:r>
            <w:r>
              <w:rPr>
                <w:rFonts w:hint="default" w:ascii="Times New Roman" w:hAnsi="Times New Roman" w:cs="Times New Roman"/>
                <w:sz w:val="18"/>
                <w:szCs w:val="18"/>
              </w:rPr>
              <w:t>）</w:t>
            </w:r>
          </w:p>
        </w:tc>
        <w:tc>
          <w:tcPr>
            <w:tcW w:w="1379" w:type="dxa"/>
            <w:vAlign w:val="center"/>
          </w:tcPr>
          <w:p>
            <w:pPr>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sz w:val="18"/>
                <w:szCs w:val="18"/>
              </w:rPr>
              <w:t>验收达产日产量（</w:t>
            </w:r>
            <w:r>
              <w:rPr>
                <w:rFonts w:hint="eastAsia" w:ascii="Times New Roman" w:hAnsi="Times New Roman" w:cs="Times New Roman"/>
                <w:sz w:val="18"/>
                <w:szCs w:val="18"/>
                <w:lang w:val="en-US" w:eastAsia="zh-CN"/>
              </w:rPr>
              <w:t>万套</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件/</w:t>
            </w:r>
            <w:r>
              <w:rPr>
                <w:rFonts w:hint="default" w:ascii="Times New Roman" w:hAnsi="Times New Roman" w:cs="Times New Roman"/>
                <w:sz w:val="18"/>
                <w:szCs w:val="18"/>
                <w:lang w:val="en-US" w:eastAsia="zh-CN"/>
              </w:rPr>
              <w:t>d</w:t>
            </w:r>
            <w:r>
              <w:rPr>
                <w:rFonts w:hint="default" w:ascii="Times New Roman" w:hAnsi="Times New Roman" w:cs="Times New Roman"/>
                <w:sz w:val="18"/>
                <w:szCs w:val="18"/>
              </w:rPr>
              <w:t>）</w:t>
            </w:r>
          </w:p>
        </w:tc>
        <w:tc>
          <w:tcPr>
            <w:tcW w:w="2032" w:type="dxa"/>
            <w:gridSpan w:val="2"/>
            <w:vAlign w:val="center"/>
          </w:tcPr>
          <w:p>
            <w:pPr>
              <w:spacing w:line="240" w:lineRule="auto"/>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验收期间产量</w:t>
            </w:r>
          </w:p>
          <w:p>
            <w:pPr>
              <w:spacing w:line="240" w:lineRule="auto"/>
              <w:jc w:val="center"/>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auto"/>
                <w:kern w:val="0"/>
                <w:sz w:val="18"/>
                <w:szCs w:val="18"/>
                <w:lang w:eastAsia="zh-CN"/>
              </w:rPr>
              <w:t>（</w:t>
            </w:r>
            <w:r>
              <w:rPr>
                <w:rFonts w:hint="eastAsia" w:ascii="Times New Roman" w:hAnsi="Times New Roman" w:cs="Times New Roman"/>
                <w:sz w:val="18"/>
                <w:szCs w:val="18"/>
                <w:lang w:val="en-US" w:eastAsia="zh-CN"/>
              </w:rPr>
              <w:t>万套</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件/</w:t>
            </w:r>
            <w:r>
              <w:rPr>
                <w:rFonts w:hint="default" w:ascii="Times New Roman" w:hAnsi="Times New Roman" w:cs="Times New Roman"/>
                <w:sz w:val="18"/>
                <w:szCs w:val="18"/>
                <w:lang w:val="en-US" w:eastAsia="zh-CN"/>
              </w:rPr>
              <w:t>d</w:t>
            </w:r>
            <w:r>
              <w:rPr>
                <w:rFonts w:hint="default" w:ascii="Times New Roman" w:hAnsi="Times New Roman" w:cs="Times New Roman"/>
                <w:color w:val="auto"/>
                <w:kern w:val="0"/>
                <w:sz w:val="18"/>
                <w:szCs w:val="18"/>
                <w:lang w:eastAsia="zh-CN"/>
              </w:rPr>
              <w:t>）</w:t>
            </w:r>
          </w:p>
        </w:tc>
        <w:tc>
          <w:tcPr>
            <w:tcW w:w="997" w:type="dxa"/>
            <w:vAlign w:val="center"/>
          </w:tcPr>
          <w:p>
            <w:pPr>
              <w:spacing w:line="240" w:lineRule="auto"/>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负荷率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05" w:type="dxa"/>
            <w:vMerge w:val="restart"/>
            <w:vAlign w:val="center"/>
          </w:tcPr>
          <w:p>
            <w:pPr>
              <w:spacing w:line="240" w:lineRule="auto"/>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P1级、直径60毫米以上滚动轴承</w:t>
            </w:r>
          </w:p>
        </w:tc>
        <w:tc>
          <w:tcPr>
            <w:tcW w:w="1230" w:type="dxa"/>
            <w:vMerge w:val="restart"/>
            <w:tcBorders>
              <w:right w:val="single" w:color="auto" w:sz="4" w:space="0"/>
            </w:tcBorders>
            <w:vAlign w:val="center"/>
          </w:tcPr>
          <w:p>
            <w:pPr>
              <w:spacing w:line="240" w:lineRule="auto"/>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500</w:t>
            </w:r>
          </w:p>
        </w:tc>
        <w:tc>
          <w:tcPr>
            <w:tcW w:w="1261" w:type="dxa"/>
            <w:vMerge w:val="restart"/>
            <w:tcBorders>
              <w:left w:val="single" w:color="auto" w:sz="4" w:space="0"/>
            </w:tcBorders>
            <w:vAlign w:val="center"/>
          </w:tcPr>
          <w:p>
            <w:pPr>
              <w:spacing w:line="240" w:lineRule="auto"/>
              <w:jc w:val="center"/>
              <w:rPr>
                <w:rFonts w:hint="default" w:ascii="Times New Roman" w:hAnsi="Times New Roman"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500</w:t>
            </w:r>
          </w:p>
        </w:tc>
        <w:tc>
          <w:tcPr>
            <w:tcW w:w="1379" w:type="dxa"/>
            <w:vMerge w:val="restart"/>
            <w:vAlign w:val="center"/>
          </w:tcPr>
          <w:p>
            <w:pPr>
              <w:spacing w:line="240" w:lineRule="auto"/>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1.67</w:t>
            </w:r>
          </w:p>
        </w:tc>
        <w:tc>
          <w:tcPr>
            <w:tcW w:w="1156" w:type="dxa"/>
            <w:tcBorders>
              <w:right w:val="single" w:color="auto" w:sz="4" w:space="0"/>
            </w:tcBorders>
            <w:vAlign w:val="center"/>
          </w:tcPr>
          <w:p>
            <w:pPr>
              <w:spacing w:line="240" w:lineRule="auto"/>
              <w:jc w:val="center"/>
              <w:rPr>
                <w:rFonts w:hint="default" w:ascii="Times New Roman" w:hAnsi="Times New Roman" w:eastAsia="宋体" w:cs="Times New Roman"/>
                <w:color w:val="FF0000"/>
                <w:kern w:val="0"/>
                <w:sz w:val="18"/>
                <w:szCs w:val="18"/>
                <w:lang w:val="en-US" w:eastAsia="zh-CN"/>
              </w:rPr>
            </w:pPr>
            <w:r>
              <w:rPr>
                <w:rFonts w:hint="eastAsia" w:ascii="Times New Roman" w:hAnsi="Times New Roman" w:cs="Times New Roman"/>
                <w:color w:val="auto"/>
                <w:kern w:val="0"/>
                <w:sz w:val="18"/>
                <w:szCs w:val="18"/>
                <w:lang w:val="en-US" w:eastAsia="zh-CN"/>
              </w:rPr>
              <w:t>2019.11.29</w:t>
            </w:r>
          </w:p>
        </w:tc>
        <w:tc>
          <w:tcPr>
            <w:tcW w:w="876" w:type="dxa"/>
            <w:tcBorders>
              <w:left w:val="single" w:color="auto" w:sz="4" w:space="0"/>
            </w:tcBorders>
            <w:vAlign w:val="center"/>
          </w:tcPr>
          <w:p>
            <w:pPr>
              <w:spacing w:line="240" w:lineRule="auto"/>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1.37</w:t>
            </w:r>
          </w:p>
        </w:tc>
        <w:tc>
          <w:tcPr>
            <w:tcW w:w="997" w:type="dxa"/>
            <w:vAlign w:val="center"/>
          </w:tcPr>
          <w:p>
            <w:pPr>
              <w:spacing w:line="240" w:lineRule="auto"/>
              <w:jc w:val="center"/>
              <w:rPr>
                <w:rFonts w:hint="default" w:ascii="Times New Roman" w:hAnsi="Times New Roman" w:eastAsia="宋体" w:cs="Times New Roman"/>
                <w:color w:val="FF0000"/>
                <w:kern w:val="0"/>
                <w:sz w:val="18"/>
                <w:szCs w:val="18"/>
                <w:lang w:val="en-US" w:eastAsia="zh-CN"/>
              </w:rPr>
            </w:pPr>
            <w:r>
              <w:rPr>
                <w:rFonts w:hint="eastAsia" w:ascii="Times New Roman" w:hAnsi="Times New Roman" w:cs="Times New Roman"/>
                <w:color w:val="auto"/>
                <w:kern w:val="0"/>
                <w:sz w:val="18"/>
                <w:szCs w:val="18"/>
                <w:lang w:val="en-US" w:eastAsia="zh-CN"/>
              </w:rPr>
              <w:t>82</w:t>
            </w:r>
            <w:r>
              <w:rPr>
                <w:rFonts w:hint="default" w:ascii="Times New Roman" w:hAnsi="Times New Roman" w:cs="Times New Roman"/>
                <w:color w:val="auto"/>
                <w:kern w:val="0"/>
                <w:sz w:val="18"/>
                <w:szCs w:val="18"/>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1605" w:type="dxa"/>
            <w:vMerge w:val="continue"/>
            <w:vAlign w:val="center"/>
          </w:tcPr>
          <w:p>
            <w:pPr>
              <w:spacing w:line="240" w:lineRule="auto"/>
              <w:jc w:val="center"/>
              <w:rPr>
                <w:rFonts w:hint="eastAsia" w:ascii="Times New Roman" w:hAnsi="Times New Roman" w:eastAsia="宋体" w:cs="Times New Roman"/>
                <w:color w:val="auto"/>
                <w:kern w:val="0"/>
                <w:sz w:val="18"/>
                <w:szCs w:val="18"/>
                <w:lang w:val="en-US" w:eastAsia="zh-CN"/>
              </w:rPr>
            </w:pPr>
          </w:p>
        </w:tc>
        <w:tc>
          <w:tcPr>
            <w:tcW w:w="1230" w:type="dxa"/>
            <w:vMerge w:val="continue"/>
            <w:tcBorders>
              <w:right w:val="single" w:color="auto" w:sz="4" w:space="0"/>
            </w:tcBorders>
            <w:vAlign w:val="center"/>
          </w:tcPr>
          <w:p>
            <w:pPr>
              <w:spacing w:line="240" w:lineRule="auto"/>
              <w:jc w:val="center"/>
              <w:rPr>
                <w:rFonts w:hint="eastAsia" w:ascii="Times New Roman" w:hAnsi="Times New Roman" w:eastAsia="宋体" w:cs="Times New Roman"/>
                <w:color w:val="auto"/>
                <w:kern w:val="0"/>
                <w:sz w:val="18"/>
                <w:szCs w:val="18"/>
                <w:lang w:val="en-US" w:eastAsia="zh-CN"/>
              </w:rPr>
            </w:pPr>
          </w:p>
        </w:tc>
        <w:tc>
          <w:tcPr>
            <w:tcW w:w="1261" w:type="dxa"/>
            <w:vMerge w:val="continue"/>
            <w:tcBorders>
              <w:left w:val="single" w:color="auto" w:sz="4" w:space="0"/>
            </w:tcBorders>
            <w:vAlign w:val="center"/>
          </w:tcPr>
          <w:p>
            <w:pPr>
              <w:spacing w:line="240" w:lineRule="auto"/>
              <w:jc w:val="center"/>
              <w:rPr>
                <w:rFonts w:hint="eastAsia" w:ascii="Times New Roman" w:hAnsi="Times New Roman" w:eastAsia="宋体" w:cs="Times New Roman"/>
                <w:color w:val="auto"/>
                <w:kern w:val="0"/>
                <w:sz w:val="18"/>
                <w:szCs w:val="18"/>
                <w:lang w:val="en-US" w:eastAsia="zh-CN"/>
              </w:rPr>
            </w:pPr>
          </w:p>
        </w:tc>
        <w:tc>
          <w:tcPr>
            <w:tcW w:w="1379" w:type="dxa"/>
            <w:vMerge w:val="continue"/>
            <w:vAlign w:val="center"/>
          </w:tcPr>
          <w:p>
            <w:pPr>
              <w:spacing w:line="240" w:lineRule="auto"/>
              <w:jc w:val="center"/>
              <w:rPr>
                <w:rFonts w:hint="eastAsia" w:ascii="Times New Roman" w:hAnsi="Times New Roman" w:eastAsia="宋体" w:cs="Times New Roman"/>
                <w:color w:val="auto"/>
                <w:kern w:val="0"/>
                <w:sz w:val="18"/>
                <w:szCs w:val="18"/>
                <w:lang w:val="en-US" w:eastAsia="zh-CN"/>
              </w:rPr>
            </w:pPr>
          </w:p>
        </w:tc>
        <w:tc>
          <w:tcPr>
            <w:tcW w:w="1156" w:type="dxa"/>
            <w:tcBorders>
              <w:bottom w:val="single" w:color="auto" w:sz="4" w:space="0"/>
              <w:right w:val="single" w:color="auto" w:sz="4" w:space="0"/>
            </w:tcBorders>
            <w:vAlign w:val="center"/>
          </w:tcPr>
          <w:p>
            <w:pPr>
              <w:spacing w:line="240" w:lineRule="auto"/>
              <w:jc w:val="center"/>
              <w:rPr>
                <w:rFonts w:hint="default" w:ascii="Times New Roman" w:hAnsi="Times New Roman" w:cs="Times New Roman"/>
                <w:color w:val="FF0000"/>
                <w:kern w:val="0"/>
                <w:sz w:val="18"/>
                <w:szCs w:val="18"/>
                <w:lang w:val="en-US" w:eastAsia="zh-CN"/>
              </w:rPr>
            </w:pPr>
            <w:r>
              <w:rPr>
                <w:rFonts w:hint="eastAsia" w:ascii="Times New Roman" w:hAnsi="Times New Roman" w:cs="Times New Roman"/>
                <w:color w:val="auto"/>
                <w:kern w:val="0"/>
                <w:sz w:val="18"/>
                <w:szCs w:val="18"/>
                <w:lang w:val="en-US" w:eastAsia="zh-CN"/>
              </w:rPr>
              <w:t>2019.11.30</w:t>
            </w:r>
          </w:p>
        </w:tc>
        <w:tc>
          <w:tcPr>
            <w:tcW w:w="876" w:type="dxa"/>
            <w:tcBorders>
              <w:left w:val="single" w:color="auto" w:sz="4" w:space="0"/>
              <w:bottom w:val="single" w:color="auto" w:sz="4" w:space="0"/>
            </w:tcBorders>
            <w:vAlign w:val="center"/>
          </w:tcPr>
          <w:p>
            <w:pPr>
              <w:spacing w:line="240" w:lineRule="auto"/>
              <w:jc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eastAsia="宋体" w:cs="Times New Roman"/>
                <w:color w:val="auto"/>
                <w:kern w:val="0"/>
                <w:sz w:val="18"/>
                <w:szCs w:val="18"/>
                <w:lang w:val="en-US" w:eastAsia="zh-CN"/>
              </w:rPr>
              <w:t>1.35</w:t>
            </w:r>
          </w:p>
        </w:tc>
        <w:tc>
          <w:tcPr>
            <w:tcW w:w="997" w:type="dxa"/>
            <w:tcBorders>
              <w:bottom w:val="single" w:color="auto" w:sz="4" w:space="0"/>
            </w:tcBorders>
            <w:vAlign w:val="center"/>
          </w:tcPr>
          <w:p>
            <w:pPr>
              <w:spacing w:line="240" w:lineRule="auto"/>
              <w:jc w:val="center"/>
              <w:rPr>
                <w:rFonts w:hint="eastAsia" w:ascii="Times New Roman" w:hAnsi="Times New Roman" w:cs="Times New Roman"/>
                <w:color w:val="FF0000"/>
                <w:kern w:val="0"/>
                <w:sz w:val="18"/>
                <w:szCs w:val="18"/>
                <w:lang w:val="en-US" w:eastAsia="zh-CN"/>
              </w:rPr>
            </w:pPr>
            <w:r>
              <w:rPr>
                <w:rFonts w:hint="eastAsia" w:ascii="Times New Roman" w:hAnsi="Times New Roman" w:cs="Times New Roman"/>
                <w:color w:val="auto"/>
                <w:kern w:val="0"/>
                <w:sz w:val="18"/>
                <w:szCs w:val="18"/>
                <w:lang w:val="en-US" w:eastAsia="zh-CN"/>
              </w:rPr>
              <w:t>80.8</w:t>
            </w:r>
            <w:r>
              <w:rPr>
                <w:rFonts w:hint="default" w:ascii="Times New Roman" w:hAnsi="Times New Roman" w:cs="Times New Roman"/>
                <w:color w:val="auto"/>
                <w:kern w:val="0"/>
                <w:sz w:val="18"/>
                <w:szCs w:val="18"/>
                <w:lang w:val="en-US" w:eastAsia="zh-CN"/>
              </w:rPr>
              <w:t>%</w:t>
            </w:r>
          </w:p>
        </w:tc>
      </w:tr>
    </w:tbl>
    <w:p>
      <w:pPr>
        <w:pStyle w:val="27"/>
        <w:keepNext w:val="0"/>
        <w:keepLines w:val="0"/>
        <w:pageBreakBefore w:val="0"/>
        <w:widowControl/>
        <w:kinsoku/>
        <w:wordWrap/>
        <w:overflowPunct/>
        <w:topLinePunct w:val="0"/>
        <w:autoSpaceDE/>
        <w:autoSpaceDN/>
        <w:bidi w:val="0"/>
        <w:adjustRightInd/>
        <w:snapToGrid/>
        <w:spacing w:beforeLines="0" w:afterLines="0" w:line="440" w:lineRule="exact"/>
        <w:textAlignment w:val="auto"/>
        <w:outlineLvl w:val="9"/>
        <w:rPr>
          <w:rFonts w:hint="default" w:ascii="Times New Roman" w:hAnsi="Times New Roman" w:cs="Times New Roman"/>
          <w:b/>
          <w:bCs/>
          <w:sz w:val="21"/>
          <w:szCs w:val="21"/>
          <w:lang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bookmarkStart w:id="65" w:name="_Toc1784"/>
      <w:bookmarkStart w:id="66" w:name="_Toc515273930"/>
      <w:r>
        <w:rPr>
          <w:rFonts w:hint="default" w:ascii="Times New Roman" w:hAnsi="Times New Roman" w:eastAsia="宋体" w:cs="Times New Roman"/>
          <w:sz w:val="24"/>
          <w:szCs w:val="24"/>
        </w:rPr>
        <w:t>9.2环境保护设施调试效果</w:t>
      </w:r>
      <w:bookmarkEnd w:id="65"/>
      <w:bookmarkEnd w:id="66"/>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9.2.1废水</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嘉兴威正检测服务有限公司于</w:t>
      </w:r>
      <w:r>
        <w:rPr>
          <w:rFonts w:hint="default" w:ascii="Times New Roman" w:hAnsi="Times New Roman" w:cs="Times New Roman"/>
          <w:color w:val="auto"/>
          <w:sz w:val="24"/>
          <w:szCs w:val="24"/>
          <w:lang w:val="en-US" w:eastAsia="zh-CN"/>
        </w:rPr>
        <w:t>201</w:t>
      </w:r>
      <w:r>
        <w:rPr>
          <w:rFonts w:hint="eastAsia"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29</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、11月30</w:t>
      </w:r>
      <w:r>
        <w:rPr>
          <w:rFonts w:hint="default" w:ascii="Times New Roman" w:hAnsi="Times New Roman" w:cs="Times New Roman"/>
          <w:color w:val="auto"/>
          <w:sz w:val="24"/>
          <w:szCs w:val="24"/>
          <w:lang w:val="en-US" w:eastAsia="zh-CN"/>
        </w:rPr>
        <w:t>日</w:t>
      </w:r>
      <w:r>
        <w:rPr>
          <w:rFonts w:hint="default" w:ascii="Times New Roman" w:hAnsi="Times New Roman" w:cs="Times New Roman"/>
          <w:sz w:val="24"/>
          <w:szCs w:val="24"/>
          <w:lang w:val="en-US" w:eastAsia="zh-CN"/>
        </w:rPr>
        <w:t>对</w:t>
      </w:r>
      <w:r>
        <w:rPr>
          <w:rFonts w:hint="eastAsia" w:ascii="Times New Roman" w:hAnsi="Times New Roman" w:cs="Times New Roman"/>
          <w:sz w:val="24"/>
          <w:szCs w:val="24"/>
          <w:lang w:val="en-US" w:eastAsia="zh-CN"/>
        </w:rPr>
        <w:t>浙江德沃轴承有限公司废水的排放进行了现场监测，生活污水入管网口的主要污染物均值为：</w:t>
      </w:r>
      <w:r>
        <w:rPr>
          <w:rFonts w:hint="default" w:ascii="Times New Roman" w:hAnsi="Times New Roman" w:cs="Times New Roman"/>
          <w:b w:val="0"/>
          <w:bCs/>
          <w:color w:val="auto"/>
          <w:kern w:val="0"/>
          <w:sz w:val="24"/>
          <w:szCs w:val="24"/>
        </w:rPr>
        <w:t>COD</w:t>
      </w:r>
      <w:r>
        <w:rPr>
          <w:rFonts w:hint="default" w:ascii="Times New Roman" w:hAnsi="Times New Roman" w:cs="Times New Roman"/>
          <w:b w:val="0"/>
          <w:bCs/>
          <w:color w:val="auto"/>
          <w:kern w:val="0"/>
          <w:sz w:val="24"/>
          <w:szCs w:val="24"/>
          <w:vertAlign w:val="subscript"/>
          <w:lang w:val="en-US" w:eastAsia="zh-CN"/>
        </w:rPr>
        <w:t>Cr</w:t>
      </w:r>
      <w:r>
        <w:rPr>
          <w:rFonts w:hint="default" w:ascii="Times New Roman" w:hAnsi="Times New Roman" w:cs="Times New Roman" w:eastAsiaTheme="minorEastAsia"/>
          <w:b w:val="0"/>
          <w:bCs/>
          <w:color w:val="auto"/>
          <w:kern w:val="0"/>
          <w:sz w:val="24"/>
          <w:szCs w:val="24"/>
          <w:vertAlign w:val="baseline"/>
          <w:lang w:val="en-US" w:eastAsia="zh-CN"/>
        </w:rPr>
        <w:t>为</w:t>
      </w:r>
      <w:r>
        <w:rPr>
          <w:rFonts w:hint="eastAsia" w:ascii="Times New Roman" w:hAnsi="Times New Roman" w:cs="Times New Roman"/>
          <w:b w:val="0"/>
          <w:bCs/>
          <w:color w:val="auto"/>
          <w:kern w:val="0"/>
          <w:sz w:val="24"/>
          <w:szCs w:val="24"/>
          <w:vertAlign w:val="baseline"/>
          <w:lang w:val="en-US" w:eastAsia="zh-CN"/>
        </w:rPr>
        <w:t>25</w:t>
      </w:r>
      <w:r>
        <w:rPr>
          <w:rFonts w:hint="default" w:ascii="Times New Roman" w:hAnsi="Times New Roman" w:cs="Times New Roman"/>
          <w:b w:val="0"/>
          <w:bCs/>
          <w:color w:val="auto"/>
          <w:kern w:val="0"/>
          <w:sz w:val="24"/>
          <w:szCs w:val="24"/>
          <w:vertAlign w:val="baseline"/>
          <w:lang w:val="en-US" w:eastAsia="zh-CN"/>
        </w:rPr>
        <w:t>mg/L，</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default" w:ascii="Times New Roman" w:hAnsi="Times New Roman" w:cs="Times New Roman"/>
          <w:b w:val="0"/>
          <w:bCs/>
          <w:color w:val="auto"/>
          <w:kern w:val="0"/>
          <w:sz w:val="24"/>
          <w:szCs w:val="24"/>
          <w:vertAlign w:val="baseline"/>
          <w:lang w:val="en-US" w:eastAsia="zh-CN"/>
        </w:rPr>
        <w:t>为</w:t>
      </w:r>
      <w:r>
        <w:rPr>
          <w:rFonts w:hint="eastAsia" w:ascii="Times New Roman" w:hAnsi="Times New Roman" w:cs="Times New Roman"/>
          <w:b w:val="0"/>
          <w:bCs/>
          <w:color w:val="auto"/>
          <w:kern w:val="0"/>
          <w:sz w:val="24"/>
          <w:szCs w:val="24"/>
          <w:vertAlign w:val="baseline"/>
          <w:lang w:val="en-US" w:eastAsia="zh-CN"/>
        </w:rPr>
        <w:t>2.39</w:t>
      </w:r>
      <w:r>
        <w:rPr>
          <w:rFonts w:hint="default" w:ascii="Times New Roman" w:hAnsi="Times New Roman" w:cs="Times New Roman"/>
          <w:b w:val="0"/>
          <w:bCs/>
          <w:color w:val="auto"/>
          <w:kern w:val="0"/>
          <w:sz w:val="24"/>
          <w:szCs w:val="24"/>
          <w:vertAlign w:val="baseline"/>
          <w:lang w:val="en-US" w:eastAsia="zh-CN"/>
        </w:rPr>
        <w:t>mg/L，SS为</w:t>
      </w:r>
      <w:r>
        <w:rPr>
          <w:rFonts w:hint="eastAsia" w:ascii="Times New Roman" w:hAnsi="Times New Roman" w:cs="Times New Roman"/>
          <w:b w:val="0"/>
          <w:bCs/>
          <w:color w:val="auto"/>
          <w:kern w:val="0"/>
          <w:sz w:val="24"/>
          <w:szCs w:val="24"/>
          <w:vertAlign w:val="baseline"/>
          <w:lang w:val="en-US" w:eastAsia="zh-CN"/>
        </w:rPr>
        <w:t>81</w:t>
      </w:r>
      <w:r>
        <w:rPr>
          <w:rFonts w:hint="default" w:ascii="Times New Roman" w:hAnsi="Times New Roman" w:cs="Times New Roman"/>
          <w:b w:val="0"/>
          <w:bCs/>
          <w:color w:val="auto"/>
          <w:kern w:val="0"/>
          <w:sz w:val="24"/>
          <w:szCs w:val="24"/>
          <w:vertAlign w:val="baseline"/>
          <w:lang w:val="en-US" w:eastAsia="zh-CN"/>
        </w:rPr>
        <w:t>mg/L，</w:t>
      </w:r>
      <w:r>
        <w:rPr>
          <w:rFonts w:hint="eastAsia" w:ascii="Times New Roman" w:hAnsi="Times New Roman" w:cs="Times New Roman"/>
          <w:b w:val="0"/>
          <w:bCs/>
          <w:color w:val="auto"/>
          <w:kern w:val="0"/>
          <w:sz w:val="24"/>
          <w:szCs w:val="24"/>
          <w:vertAlign w:val="baseline"/>
          <w:lang w:val="en-US" w:eastAsia="zh-CN"/>
        </w:rPr>
        <w:t>TP为0.357，动植物油类</w:t>
      </w:r>
      <w:r>
        <w:rPr>
          <w:rFonts w:hint="default" w:ascii="Times New Roman" w:hAnsi="Times New Roman" w:cs="Times New Roman"/>
          <w:b w:val="0"/>
          <w:bCs/>
          <w:color w:val="auto"/>
          <w:kern w:val="0"/>
          <w:sz w:val="24"/>
          <w:szCs w:val="24"/>
          <w:vertAlign w:val="baseline"/>
          <w:lang w:val="en-US" w:eastAsia="zh-CN"/>
        </w:rPr>
        <w:t>为</w:t>
      </w:r>
      <w:r>
        <w:rPr>
          <w:rFonts w:hint="eastAsia" w:ascii="Times New Roman" w:hAnsi="Times New Roman" w:cs="Times New Roman"/>
          <w:b w:val="0"/>
          <w:bCs/>
          <w:color w:val="auto"/>
          <w:kern w:val="0"/>
          <w:sz w:val="24"/>
          <w:szCs w:val="24"/>
          <w:vertAlign w:val="baseline"/>
          <w:lang w:val="en-US" w:eastAsia="zh-CN"/>
        </w:rPr>
        <w:t>0.30</w:t>
      </w:r>
      <w:r>
        <w:rPr>
          <w:rFonts w:hint="default" w:ascii="Times New Roman" w:hAnsi="Times New Roman" w:cs="Times New Roman"/>
          <w:b w:val="0"/>
          <w:bCs/>
          <w:color w:val="auto"/>
          <w:kern w:val="0"/>
          <w:sz w:val="24"/>
          <w:szCs w:val="24"/>
          <w:vertAlign w:val="baseline"/>
          <w:lang w:val="en-US" w:eastAsia="zh-CN"/>
        </w:rPr>
        <w:t>mg/L</w:t>
      </w:r>
      <w:r>
        <w:rPr>
          <w:rFonts w:hint="eastAsia" w:ascii="Times New Roman" w:hAnsi="Times New Roman" w:cs="Times New Roman"/>
          <w:b w:val="0"/>
          <w:bCs/>
          <w:color w:val="auto"/>
          <w:kern w:val="0"/>
          <w:sz w:val="24"/>
          <w:szCs w:val="24"/>
          <w:vertAlign w:val="baseline"/>
          <w:lang w:val="en-US" w:eastAsia="zh-CN"/>
        </w:rPr>
        <w:t>，</w:t>
      </w:r>
      <w:r>
        <w:rPr>
          <w:rFonts w:hint="default" w:ascii="Times New Roman" w:hAnsi="Times New Roman" w:eastAsia="宋体" w:cs="Times New Roman"/>
          <w:b w:val="0"/>
          <w:bCs/>
          <w:color w:val="auto"/>
          <w:kern w:val="0"/>
          <w:sz w:val="24"/>
          <w:szCs w:val="24"/>
          <w:lang w:val="en-US" w:eastAsia="zh-CN"/>
        </w:rPr>
        <w:t>BOD</w:t>
      </w:r>
      <w:r>
        <w:rPr>
          <w:rFonts w:hint="default" w:ascii="Times New Roman" w:hAnsi="Times New Roman" w:eastAsia="宋体" w:cs="Times New Roman"/>
          <w:b w:val="0"/>
          <w:bCs/>
          <w:color w:val="auto"/>
          <w:kern w:val="0"/>
          <w:sz w:val="24"/>
          <w:szCs w:val="24"/>
          <w:vertAlign w:val="subscript"/>
          <w:lang w:val="en-US" w:eastAsia="zh-CN"/>
        </w:rPr>
        <w:t>5</w:t>
      </w:r>
      <w:r>
        <w:rPr>
          <w:rFonts w:hint="default" w:ascii="Times New Roman" w:hAnsi="Times New Roman" w:eastAsia="宋体" w:cs="Times New Roman"/>
          <w:b w:val="0"/>
          <w:bCs/>
          <w:color w:val="auto"/>
          <w:kern w:val="0"/>
          <w:sz w:val="24"/>
          <w:szCs w:val="24"/>
          <w:vertAlign w:val="baseline"/>
          <w:lang w:val="en-US" w:eastAsia="zh-CN"/>
        </w:rPr>
        <w:t>为</w:t>
      </w:r>
      <w:r>
        <w:rPr>
          <w:rFonts w:hint="eastAsia" w:ascii="Times New Roman" w:hAnsi="Times New Roman" w:eastAsia="宋体" w:cs="Times New Roman"/>
          <w:b w:val="0"/>
          <w:bCs/>
          <w:color w:val="auto"/>
          <w:kern w:val="0"/>
          <w:sz w:val="24"/>
          <w:szCs w:val="24"/>
          <w:vertAlign w:val="baseline"/>
          <w:lang w:val="en-US" w:eastAsia="zh-CN"/>
        </w:rPr>
        <w:t>6.9</w:t>
      </w:r>
      <w:r>
        <w:rPr>
          <w:rFonts w:hint="default" w:ascii="Times New Roman" w:hAnsi="Times New Roman" w:cs="Times New Roman"/>
          <w:b w:val="0"/>
          <w:bCs/>
          <w:color w:val="auto"/>
          <w:kern w:val="0"/>
          <w:sz w:val="24"/>
          <w:szCs w:val="24"/>
          <w:vertAlign w:val="baseline"/>
          <w:lang w:val="en-US" w:eastAsia="zh-CN"/>
        </w:rPr>
        <w:t>mg/L，PH的范围为</w:t>
      </w:r>
      <w:r>
        <w:rPr>
          <w:rFonts w:hint="eastAsia" w:ascii="Times New Roman" w:hAnsi="Times New Roman" w:cs="Times New Roman"/>
          <w:b w:val="0"/>
          <w:bCs/>
          <w:color w:val="auto"/>
          <w:kern w:val="0"/>
          <w:sz w:val="24"/>
          <w:szCs w:val="24"/>
          <w:vertAlign w:val="baseline"/>
          <w:lang w:val="en-US" w:eastAsia="zh-CN"/>
        </w:rPr>
        <w:t>7.38</w:t>
      </w:r>
      <w:r>
        <w:rPr>
          <w:rFonts w:hint="default" w:ascii="Times New Roman" w:hAnsi="Times New Roman" w:cs="Times New Roman"/>
          <w:b w:val="0"/>
          <w:bCs/>
          <w:color w:val="auto"/>
          <w:kern w:val="0"/>
          <w:sz w:val="24"/>
          <w:szCs w:val="24"/>
          <w:vertAlign w:val="baseline"/>
          <w:lang w:val="en-US" w:eastAsia="zh-CN"/>
        </w:rPr>
        <w:t>~</w:t>
      </w:r>
      <w:r>
        <w:rPr>
          <w:rFonts w:hint="eastAsia" w:ascii="Times New Roman" w:hAnsi="Times New Roman" w:cs="Times New Roman"/>
          <w:b w:val="0"/>
          <w:bCs/>
          <w:color w:val="auto"/>
          <w:kern w:val="0"/>
          <w:sz w:val="24"/>
          <w:szCs w:val="24"/>
          <w:vertAlign w:val="baseline"/>
          <w:lang w:val="en-US" w:eastAsia="zh-CN"/>
        </w:rPr>
        <w:t>7.65</w:t>
      </w:r>
      <w:r>
        <w:rPr>
          <w:rFonts w:hint="default" w:ascii="Times New Roman" w:hAnsi="Times New Roman" w:cs="Times New Roman"/>
          <w:b w:val="0"/>
          <w:bCs/>
          <w:color w:val="auto"/>
          <w:kern w:val="0"/>
          <w:sz w:val="24"/>
          <w:szCs w:val="24"/>
          <w:vertAlign w:val="baseline"/>
          <w:lang w:val="en-US" w:eastAsia="zh-CN"/>
        </w:rPr>
        <w:t>。</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rPr>
        <w:t>监测结果表明，</w:t>
      </w:r>
      <w:r>
        <w:rPr>
          <w:rFonts w:hint="eastAsia" w:ascii="Times New Roman" w:hAnsi="Times New Roman" w:cs="Times New Roman"/>
          <w:sz w:val="24"/>
          <w:szCs w:val="24"/>
          <w:lang w:val="en-US" w:eastAsia="zh-CN"/>
        </w:rPr>
        <w:t>企业生活污水</w:t>
      </w:r>
      <w:r>
        <w:rPr>
          <w:rFonts w:hint="default" w:ascii="Times New Roman" w:hAnsi="Times New Roman" w:cs="Times New Roman"/>
          <w:sz w:val="24"/>
          <w:szCs w:val="24"/>
        </w:rPr>
        <w:t>入</w:t>
      </w:r>
      <w:r>
        <w:rPr>
          <w:rFonts w:hint="eastAsia" w:ascii="Times New Roman" w:hAnsi="Times New Roman" w:cs="Times New Roman"/>
          <w:sz w:val="24"/>
          <w:szCs w:val="24"/>
          <w:lang w:val="en-US" w:eastAsia="zh-CN"/>
        </w:rPr>
        <w:t>管</w:t>
      </w:r>
      <w:r>
        <w:rPr>
          <w:rFonts w:hint="default" w:ascii="Times New Roman" w:hAnsi="Times New Roman" w:cs="Times New Roman"/>
          <w:sz w:val="24"/>
          <w:szCs w:val="24"/>
        </w:rPr>
        <w:t>网口的水质中pH、COD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、SS</w:t>
      </w:r>
      <w:r>
        <w:rPr>
          <w:rFonts w:hint="default" w:ascii="Times New Roman" w:hAnsi="Times New Roman" w:eastAsia="宋体" w:cs="Times New Roman"/>
          <w:b w:val="0"/>
          <w:bCs/>
          <w:color w:val="auto"/>
          <w:kern w:val="0"/>
          <w:sz w:val="24"/>
          <w:szCs w:val="24"/>
          <w:vertAlign w:val="baseline"/>
          <w:lang w:val="en-US" w:eastAsia="zh-CN"/>
        </w:rPr>
        <w:t>、</w:t>
      </w:r>
      <w:r>
        <w:rPr>
          <w:rFonts w:hint="eastAsia" w:ascii="Times New Roman" w:hAnsi="Times New Roman" w:eastAsia="宋体" w:cs="Times New Roman"/>
          <w:b w:val="0"/>
          <w:bCs/>
          <w:color w:val="auto"/>
          <w:kern w:val="0"/>
          <w:sz w:val="24"/>
          <w:szCs w:val="24"/>
          <w:vertAlign w:val="baseline"/>
          <w:lang w:val="en-US" w:eastAsia="zh-CN"/>
        </w:rPr>
        <w:t>动植物油</w:t>
      </w:r>
      <w:r>
        <w:rPr>
          <w:rFonts w:hint="default" w:ascii="Times New Roman" w:hAnsi="Times New Roman" w:cs="Times New Roman"/>
          <w:sz w:val="24"/>
          <w:szCs w:val="24"/>
          <w:lang w:eastAsia="zh-CN"/>
        </w:rPr>
        <w:t>、</w:t>
      </w:r>
      <w:r>
        <w:rPr>
          <w:rFonts w:hint="default" w:ascii="Times New Roman" w:hAnsi="Times New Roman" w:eastAsia="宋体" w:cs="Times New Roman"/>
          <w:b w:val="0"/>
          <w:bCs/>
          <w:color w:val="auto"/>
          <w:kern w:val="0"/>
          <w:sz w:val="24"/>
          <w:szCs w:val="24"/>
          <w:lang w:val="en-US" w:eastAsia="zh-CN"/>
        </w:rPr>
        <w:t>BOD</w:t>
      </w:r>
      <w:r>
        <w:rPr>
          <w:rFonts w:hint="default" w:ascii="Times New Roman" w:hAnsi="Times New Roman" w:eastAsia="宋体" w:cs="Times New Roman"/>
          <w:b w:val="0"/>
          <w:bCs/>
          <w:color w:val="auto"/>
          <w:kern w:val="0"/>
          <w:sz w:val="24"/>
          <w:szCs w:val="24"/>
          <w:vertAlign w:val="subscript"/>
          <w:lang w:val="en-US" w:eastAsia="zh-CN"/>
        </w:rPr>
        <w:t>5</w:t>
      </w:r>
      <w:r>
        <w:rPr>
          <w:rFonts w:hint="default" w:ascii="Times New Roman" w:hAnsi="Times New Roman" w:cs="Times New Roman"/>
          <w:sz w:val="24"/>
          <w:szCs w:val="24"/>
        </w:rPr>
        <w:t>的浓度日均值达到《污水综合排放标准》（GB8978-1996）表4中的三级标准，其</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TP的浓度</w:t>
      </w:r>
      <w:r>
        <w:rPr>
          <w:rFonts w:hint="default" w:ascii="Times New Roman" w:hAnsi="Times New Roman" w:cs="Times New Roman"/>
          <w:sz w:val="24"/>
          <w:szCs w:val="24"/>
        </w:rPr>
        <w:t>日均值达到《工业企业废水氮、磷污染物间接排放限值》（DB33/887-2013）的相关标准。pH、COD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eastAsia" w:ascii="Times New Roman" w:hAnsi="Times New Roman" w:cs="Times New Roman"/>
          <w:b w:val="0"/>
          <w:bCs/>
          <w:color w:val="auto"/>
          <w:kern w:val="0"/>
          <w:sz w:val="24"/>
          <w:szCs w:val="24"/>
          <w:lang w:val="en-US" w:eastAsia="zh-CN"/>
        </w:rPr>
        <w:t>、</w:t>
      </w:r>
      <w:r>
        <w:rPr>
          <w:rFonts w:hint="default" w:ascii="Times New Roman" w:hAnsi="Times New Roman" w:cs="Times New Roman"/>
          <w:sz w:val="24"/>
          <w:szCs w:val="24"/>
        </w:rPr>
        <w:t>SS</w:t>
      </w:r>
      <w:r>
        <w:rPr>
          <w:rFonts w:hint="default" w:ascii="Times New Roman" w:hAnsi="Times New Roman" w:cs="Times New Roman"/>
          <w:sz w:val="24"/>
          <w:szCs w:val="24"/>
          <w:lang w:eastAsia="zh-CN"/>
        </w:rPr>
        <w:t>、</w:t>
      </w:r>
      <w:r>
        <w:rPr>
          <w:rFonts w:hint="eastAsia" w:ascii="Times New Roman" w:hAnsi="Times New Roman" w:cs="Times New Roman"/>
          <w:b w:val="0"/>
          <w:bCs/>
          <w:color w:val="auto"/>
          <w:kern w:val="0"/>
          <w:sz w:val="24"/>
          <w:szCs w:val="24"/>
          <w:lang w:val="en-US" w:eastAsia="zh-CN"/>
        </w:rPr>
        <w:t>TP、动植物油和</w:t>
      </w:r>
      <w:r>
        <w:rPr>
          <w:rFonts w:hint="default" w:ascii="Times New Roman" w:hAnsi="Times New Roman" w:eastAsia="宋体" w:cs="Times New Roman"/>
          <w:b w:val="0"/>
          <w:bCs/>
          <w:color w:val="auto"/>
          <w:kern w:val="0"/>
          <w:sz w:val="24"/>
          <w:szCs w:val="24"/>
          <w:lang w:val="en-US" w:eastAsia="zh-CN"/>
        </w:rPr>
        <w:t>BOD</w:t>
      </w:r>
      <w:r>
        <w:rPr>
          <w:rFonts w:hint="default" w:ascii="Times New Roman" w:hAnsi="Times New Roman" w:eastAsia="宋体" w:cs="Times New Roman"/>
          <w:b w:val="0"/>
          <w:bCs/>
          <w:color w:val="auto"/>
          <w:kern w:val="0"/>
          <w:sz w:val="24"/>
          <w:szCs w:val="24"/>
          <w:vertAlign w:val="subscript"/>
          <w:lang w:val="en-US" w:eastAsia="zh-CN"/>
        </w:rPr>
        <w:t>5</w:t>
      </w:r>
      <w:r>
        <w:rPr>
          <w:rFonts w:hint="default" w:ascii="Times New Roman" w:hAnsi="Times New Roman" w:cs="Times New Roman"/>
          <w:sz w:val="24"/>
          <w:szCs w:val="24"/>
        </w:rPr>
        <w:t>的单项次达标率为100%</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本项目废水水质监测结果见表9-2。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b/>
          <w:color w:val="auto"/>
          <w:sz w:val="21"/>
          <w:szCs w:val="21"/>
        </w:rPr>
        <w:t>表</w:t>
      </w:r>
      <w:r>
        <w:rPr>
          <w:rFonts w:hint="default" w:ascii="Times New Roman" w:hAnsi="Times New Roman" w:cs="Times New Roman"/>
          <w:b/>
          <w:color w:val="auto"/>
          <w:sz w:val="21"/>
          <w:szCs w:val="21"/>
          <w:lang w:val="en-US" w:eastAsia="zh-CN"/>
        </w:rPr>
        <w:t>9</w:t>
      </w:r>
      <w:r>
        <w:rPr>
          <w:rFonts w:hint="default" w:ascii="Times New Roman" w:hAnsi="Times New Roman" w:cs="Times New Roman"/>
          <w:b/>
          <w:color w:val="auto"/>
          <w:sz w:val="21"/>
          <w:szCs w:val="21"/>
        </w:rPr>
        <w:t>-2  废水水质监测结果（单位：pH值为无量纲，其余为mg/L）</w:t>
      </w:r>
    </w:p>
    <w:tbl>
      <w:tblPr>
        <w:tblStyle w:val="16"/>
        <w:tblW w:w="88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0"/>
        <w:gridCol w:w="1164"/>
        <w:gridCol w:w="1075"/>
        <w:gridCol w:w="1091"/>
        <w:gridCol w:w="866"/>
        <w:gridCol w:w="846"/>
        <w:gridCol w:w="737"/>
        <w:gridCol w:w="790"/>
        <w:gridCol w:w="791"/>
        <w:gridCol w:w="7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tblHeader/>
          <w:jc w:val="center"/>
        </w:trPr>
        <w:tc>
          <w:tcPr>
            <w:tcW w:w="690"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点位</w:t>
            </w:r>
          </w:p>
        </w:tc>
        <w:tc>
          <w:tcPr>
            <w:tcW w:w="1164"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采样日期</w:t>
            </w:r>
          </w:p>
        </w:tc>
        <w:tc>
          <w:tcPr>
            <w:tcW w:w="1075"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样品性状</w:t>
            </w:r>
          </w:p>
        </w:tc>
        <w:tc>
          <w:tcPr>
            <w:tcW w:w="1091"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pH值</w:t>
            </w:r>
          </w:p>
        </w:tc>
        <w:tc>
          <w:tcPr>
            <w:tcW w:w="866"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cs="Times New Roman"/>
                <w:b/>
                <w:color w:val="auto"/>
                <w:kern w:val="0"/>
                <w:sz w:val="21"/>
                <w:szCs w:val="21"/>
              </w:rPr>
              <w:t>COD</w:t>
            </w:r>
            <w:r>
              <w:rPr>
                <w:rFonts w:hint="default" w:ascii="Times New Roman" w:hAnsi="Times New Roman" w:cs="Times New Roman"/>
                <w:b/>
                <w:color w:val="auto"/>
                <w:kern w:val="0"/>
                <w:sz w:val="21"/>
                <w:szCs w:val="21"/>
                <w:vertAlign w:val="subscript"/>
                <w:lang w:val="en-US" w:eastAsia="zh-CN"/>
              </w:rPr>
              <w:t>Cr</w:t>
            </w:r>
          </w:p>
        </w:tc>
        <w:tc>
          <w:tcPr>
            <w:tcW w:w="846" w:type="dxa"/>
            <w:vAlign w:val="center"/>
          </w:tcPr>
          <w:p>
            <w:pPr>
              <w:jc w:val="center"/>
              <w:rPr>
                <w:rFonts w:hint="default" w:ascii="Times New Roman" w:hAnsi="Times New Roman" w:cs="Times New Roman" w:eastAsiaTheme="minorEastAsia"/>
                <w:b/>
                <w:color w:val="auto"/>
                <w:kern w:val="0"/>
                <w:sz w:val="21"/>
                <w:szCs w:val="21"/>
                <w:lang w:val="en-US" w:eastAsia="zh-CN"/>
              </w:rPr>
            </w:pPr>
            <w:r>
              <w:rPr>
                <w:rFonts w:hint="default" w:ascii="Times New Roman" w:hAnsi="Times New Roman" w:cs="Times New Roman"/>
                <w:b/>
                <w:color w:val="auto"/>
                <w:kern w:val="0"/>
                <w:sz w:val="21"/>
                <w:szCs w:val="21"/>
                <w:lang w:val="en-US" w:eastAsia="zh-CN"/>
              </w:rPr>
              <w:t>NH</w:t>
            </w:r>
            <w:r>
              <w:rPr>
                <w:rFonts w:hint="default" w:ascii="Times New Roman" w:hAnsi="Times New Roman" w:cs="Times New Roman" w:eastAsiaTheme="minorEastAsia"/>
                <w:b/>
                <w:color w:val="auto"/>
                <w:kern w:val="0"/>
                <w:sz w:val="21"/>
                <w:szCs w:val="21"/>
                <w:vertAlign w:val="subscript"/>
                <w:lang w:val="en-US" w:eastAsia="zh-CN"/>
              </w:rPr>
              <w:t>3</w:t>
            </w:r>
            <w:r>
              <w:rPr>
                <w:rFonts w:hint="default" w:ascii="Times New Roman" w:hAnsi="Times New Roman" w:cs="Times New Roman"/>
                <w:b/>
                <w:color w:val="auto"/>
                <w:kern w:val="0"/>
                <w:sz w:val="21"/>
                <w:szCs w:val="21"/>
                <w:lang w:val="en-US" w:eastAsia="zh-CN"/>
              </w:rPr>
              <w:t>-N</w:t>
            </w:r>
          </w:p>
        </w:tc>
        <w:tc>
          <w:tcPr>
            <w:tcW w:w="737"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SS</w:t>
            </w:r>
          </w:p>
        </w:tc>
        <w:tc>
          <w:tcPr>
            <w:tcW w:w="790"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eastAsia="宋体" w:cs="Times New Roman"/>
                <w:b/>
                <w:color w:val="auto"/>
                <w:kern w:val="0"/>
                <w:sz w:val="21"/>
                <w:szCs w:val="21"/>
                <w:lang w:val="en-US" w:eastAsia="zh-CN"/>
              </w:rPr>
              <w:t>TP</w:t>
            </w:r>
          </w:p>
        </w:tc>
        <w:tc>
          <w:tcPr>
            <w:tcW w:w="791"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eastAsia="宋体" w:cs="Times New Roman"/>
                <w:b/>
                <w:color w:val="auto"/>
                <w:kern w:val="0"/>
                <w:sz w:val="21"/>
                <w:szCs w:val="21"/>
                <w:lang w:val="en-US" w:eastAsia="zh-CN"/>
              </w:rPr>
              <w:t>动植物油</w:t>
            </w:r>
          </w:p>
        </w:tc>
        <w:tc>
          <w:tcPr>
            <w:tcW w:w="790"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eastAsia="宋体" w:cs="Times New Roman"/>
                <w:b/>
                <w:color w:val="auto"/>
                <w:kern w:val="0"/>
                <w:sz w:val="21"/>
                <w:szCs w:val="21"/>
                <w:lang w:val="en-US" w:eastAsia="zh-CN"/>
              </w:rPr>
              <w:t>BOD</w:t>
            </w:r>
            <w:r>
              <w:rPr>
                <w:rFonts w:hint="default" w:ascii="Times New Roman" w:hAnsi="Times New Roman" w:eastAsia="宋体" w:cs="Times New Roman"/>
                <w:b/>
                <w:color w:val="auto"/>
                <w:kern w:val="0"/>
                <w:sz w:val="21"/>
                <w:szCs w:val="21"/>
                <w:vertAlign w:val="sub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90" w:type="dxa"/>
            <w:vMerge w:val="restart"/>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sz w:val="21"/>
                <w:szCs w:val="21"/>
                <w:lang w:val="en-US" w:eastAsia="zh-CN"/>
              </w:rPr>
              <w:t>生活污水入管网口</w:t>
            </w:r>
          </w:p>
        </w:tc>
        <w:tc>
          <w:tcPr>
            <w:tcW w:w="1164" w:type="dxa"/>
            <w:vMerge w:val="restart"/>
            <w:vAlign w:val="center"/>
          </w:tcPr>
          <w:p>
            <w:pPr>
              <w:jc w:val="center"/>
              <w:rPr>
                <w:rFonts w:hint="default" w:ascii="Times New Roman" w:hAnsi="Times New Roman" w:cs="Times New Roman"/>
                <w:color w:val="auto"/>
                <w:kern w:val="0"/>
                <w:sz w:val="21"/>
                <w:szCs w:val="21"/>
                <w:lang w:val="en-US"/>
              </w:rPr>
            </w:pPr>
            <w:r>
              <w:rPr>
                <w:rFonts w:hint="default" w:ascii="Times New Roman" w:hAnsi="Times New Roman" w:cs="Times New Roman"/>
                <w:color w:val="auto"/>
                <w:kern w:val="0"/>
                <w:sz w:val="21"/>
                <w:szCs w:val="21"/>
                <w:lang w:val="en-US" w:eastAsia="zh-CN"/>
              </w:rPr>
              <w:t>2018.11.29</w:t>
            </w:r>
          </w:p>
        </w:tc>
        <w:tc>
          <w:tcPr>
            <w:tcW w:w="1075" w:type="dxa"/>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7.53</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26</w:t>
            </w:r>
          </w:p>
        </w:tc>
        <w:tc>
          <w:tcPr>
            <w:tcW w:w="84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3.04</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99</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0.568</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0.38</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7.46</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27</w:t>
            </w:r>
          </w:p>
        </w:tc>
        <w:tc>
          <w:tcPr>
            <w:tcW w:w="84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2.64</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126</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0.572</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0.40</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7.59</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27</w:t>
            </w:r>
          </w:p>
        </w:tc>
        <w:tc>
          <w:tcPr>
            <w:tcW w:w="84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3.84</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91</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0.572</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0.38</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7.63</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26</w:t>
            </w:r>
          </w:p>
        </w:tc>
        <w:tc>
          <w:tcPr>
            <w:tcW w:w="84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3.38</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119</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0.580</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0.37</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均值</w:t>
            </w:r>
          </w:p>
        </w:tc>
        <w:tc>
          <w:tcPr>
            <w:tcW w:w="1075" w:type="dxa"/>
            <w:vAlign w:val="center"/>
          </w:tcPr>
          <w:p>
            <w:pPr>
              <w:widowControl/>
              <w:jc w:val="center"/>
              <w:textAlignment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val="0"/>
                <w:bCs/>
                <w:color w:val="auto"/>
                <w:kern w:val="0"/>
                <w:sz w:val="21"/>
                <w:szCs w:val="21"/>
              </w:rPr>
              <w:t>/</w:t>
            </w:r>
          </w:p>
        </w:tc>
        <w:tc>
          <w:tcPr>
            <w:tcW w:w="1091" w:type="dxa"/>
            <w:vAlign w:val="center"/>
          </w:tcPr>
          <w:p>
            <w:pPr>
              <w:spacing w:line="320" w:lineRule="exact"/>
              <w:jc w:val="center"/>
              <w:rPr>
                <w:rFonts w:hint="default" w:ascii="Times New Roman" w:hAnsi="Times New Roman" w:eastAsia="仿宋_GB2312" w:cs="Times New Roman"/>
                <w:b/>
                <w:bCs/>
                <w:color w:val="auto"/>
                <w:kern w:val="0"/>
                <w:sz w:val="21"/>
                <w:szCs w:val="21"/>
                <w:lang w:val="en-US" w:eastAsia="zh-CN"/>
              </w:rPr>
            </w:pPr>
            <w:r>
              <w:rPr>
                <w:rFonts w:hint="default" w:ascii="Times New Roman" w:hAnsi="Times New Roman" w:eastAsia="仿宋_GB2312" w:cs="Times New Roman"/>
                <w:b/>
                <w:bCs/>
                <w:sz w:val="21"/>
                <w:szCs w:val="21"/>
                <w:lang w:val="en-US" w:eastAsia="zh-CN"/>
              </w:rPr>
              <w:t>7.46</w:t>
            </w:r>
            <w:r>
              <w:rPr>
                <w:rFonts w:hint="default" w:ascii="Times New Roman" w:hAnsi="Times New Roman" w:eastAsia="仿宋_GB2312" w:cs="Times New Roman"/>
                <w:b/>
                <w:bCs/>
                <w:sz w:val="21"/>
                <w:szCs w:val="21"/>
              </w:rPr>
              <w:t>~</w:t>
            </w:r>
            <w:r>
              <w:rPr>
                <w:rFonts w:hint="default" w:ascii="Times New Roman" w:hAnsi="Times New Roman" w:eastAsia="仿宋_GB2312" w:cs="Times New Roman"/>
                <w:b/>
                <w:bCs/>
                <w:sz w:val="21"/>
                <w:szCs w:val="21"/>
                <w:lang w:val="en-US" w:eastAsia="zh-CN"/>
              </w:rPr>
              <w:t>7.63</w:t>
            </w:r>
          </w:p>
        </w:tc>
        <w:tc>
          <w:tcPr>
            <w:tcW w:w="866"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27</w:t>
            </w:r>
          </w:p>
        </w:tc>
        <w:tc>
          <w:tcPr>
            <w:tcW w:w="846" w:type="dxa"/>
            <w:vAlign w:val="center"/>
          </w:tcPr>
          <w:p>
            <w:pPr>
              <w:spacing w:line="320" w:lineRule="exact"/>
              <w:jc w:val="center"/>
              <w:rPr>
                <w:rFonts w:hint="default" w:ascii="Times New Roman" w:hAnsi="Times New Roman" w:eastAsia="仿宋_GB2312" w:cs="Times New Roman"/>
                <w:b/>
                <w:bCs/>
                <w:color w:val="auto"/>
                <w:kern w:val="0"/>
                <w:sz w:val="21"/>
                <w:szCs w:val="21"/>
                <w:lang w:val="en-US" w:eastAsia="zh-CN"/>
              </w:rPr>
            </w:pPr>
            <w:r>
              <w:rPr>
                <w:rFonts w:hint="eastAsia" w:ascii="Times New Roman" w:hAnsi="Times New Roman" w:eastAsia="仿宋_GB2312" w:cs="Times New Roman"/>
                <w:b/>
                <w:bCs/>
                <w:color w:val="auto"/>
                <w:kern w:val="0"/>
                <w:sz w:val="21"/>
                <w:szCs w:val="21"/>
                <w:lang w:val="en-US" w:eastAsia="zh-CN"/>
              </w:rPr>
              <w:t>3.23</w:t>
            </w:r>
          </w:p>
        </w:tc>
        <w:tc>
          <w:tcPr>
            <w:tcW w:w="737"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109</w:t>
            </w:r>
          </w:p>
        </w:tc>
        <w:tc>
          <w:tcPr>
            <w:tcW w:w="790"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fldChar w:fldCharType="begin"/>
            </w:r>
            <w:r>
              <w:rPr>
                <w:rFonts w:hint="default" w:ascii="Times New Roman" w:hAnsi="Times New Roman" w:eastAsia="仿宋_GB2312" w:cs="Times New Roman"/>
                <w:b/>
                <w:bCs/>
                <w:sz w:val="21"/>
                <w:szCs w:val="21"/>
                <w:lang w:val="en-US" w:eastAsia="zh-CN"/>
              </w:rPr>
              <w:instrText xml:space="preserve"> = average(H2:H5) \* MERGEFORMAT </w:instrText>
            </w:r>
            <w:r>
              <w:rPr>
                <w:rFonts w:hint="default" w:ascii="Times New Roman" w:hAnsi="Times New Roman" w:eastAsia="仿宋_GB2312" w:cs="Times New Roman"/>
                <w:b/>
                <w:bCs/>
                <w:sz w:val="21"/>
                <w:szCs w:val="21"/>
                <w:lang w:val="en-US" w:eastAsia="zh-CN"/>
              </w:rPr>
              <w:fldChar w:fldCharType="separate"/>
            </w:r>
            <w:r>
              <w:rPr>
                <w:rFonts w:hint="default" w:ascii="Times New Roman" w:hAnsi="Times New Roman" w:eastAsia="仿宋_GB2312" w:cs="Times New Roman"/>
                <w:b/>
                <w:bCs/>
                <w:sz w:val="21"/>
                <w:szCs w:val="21"/>
                <w:lang w:val="en-US" w:eastAsia="zh-CN"/>
              </w:rPr>
              <w:t>0.573</w:t>
            </w:r>
            <w:r>
              <w:rPr>
                <w:rFonts w:hint="default" w:ascii="Times New Roman" w:hAnsi="Times New Roman" w:eastAsia="仿宋_GB2312" w:cs="Times New Roman"/>
                <w:b/>
                <w:bCs/>
                <w:sz w:val="21"/>
                <w:szCs w:val="21"/>
                <w:lang w:val="en-US" w:eastAsia="zh-CN"/>
              </w:rPr>
              <w:fldChar w:fldCharType="end"/>
            </w:r>
          </w:p>
        </w:tc>
        <w:tc>
          <w:tcPr>
            <w:tcW w:w="791"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0.38</w:t>
            </w:r>
          </w:p>
        </w:tc>
        <w:tc>
          <w:tcPr>
            <w:tcW w:w="790"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restart"/>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2018.11.30</w:t>
            </w: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7.40</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22</w:t>
            </w:r>
          </w:p>
        </w:tc>
        <w:tc>
          <w:tcPr>
            <w:tcW w:w="846" w:type="dxa"/>
            <w:vAlign w:val="center"/>
          </w:tcPr>
          <w:p>
            <w:pPr>
              <w:jc w:val="center"/>
              <w:rPr>
                <w:rFonts w:hint="default" w:ascii="Times New Roman" w:hAnsi="Times New Roman" w:cs="Times New Roman"/>
                <w:color w:val="0000FF"/>
                <w:kern w:val="0"/>
                <w:sz w:val="21"/>
                <w:szCs w:val="21"/>
              </w:rPr>
            </w:pPr>
            <w:r>
              <w:rPr>
                <w:rFonts w:hint="default" w:ascii="Times New Roman" w:hAnsi="Times New Roman" w:eastAsia="宋体" w:cs="Times New Roman"/>
                <w:color w:val="000000"/>
                <w:kern w:val="0"/>
                <w:sz w:val="21"/>
                <w:szCs w:val="21"/>
                <w:lang w:val="en-US" w:eastAsia="zh-CN"/>
              </w:rPr>
              <w:t>1.51</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55</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0.135</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0.20</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7.38</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23</w:t>
            </w:r>
          </w:p>
        </w:tc>
        <w:tc>
          <w:tcPr>
            <w:tcW w:w="846" w:type="dxa"/>
            <w:vAlign w:val="center"/>
          </w:tcPr>
          <w:p>
            <w:pPr>
              <w:jc w:val="center"/>
              <w:rPr>
                <w:rFonts w:hint="default" w:ascii="Times New Roman" w:hAnsi="Times New Roman" w:cs="Times New Roman"/>
                <w:color w:val="0000FF"/>
                <w:kern w:val="0"/>
                <w:sz w:val="21"/>
                <w:szCs w:val="21"/>
              </w:rPr>
            </w:pPr>
            <w:r>
              <w:rPr>
                <w:rFonts w:hint="default" w:ascii="Times New Roman" w:hAnsi="Times New Roman" w:eastAsia="宋体" w:cs="Times New Roman"/>
                <w:color w:val="000000"/>
                <w:kern w:val="0"/>
                <w:sz w:val="21"/>
                <w:szCs w:val="21"/>
                <w:lang w:val="en-US" w:eastAsia="zh-CN"/>
              </w:rPr>
              <w:t>1.60</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45</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0.149</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0.22</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7.65</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24</w:t>
            </w:r>
          </w:p>
        </w:tc>
        <w:tc>
          <w:tcPr>
            <w:tcW w:w="846" w:type="dxa"/>
            <w:vAlign w:val="center"/>
          </w:tcPr>
          <w:p>
            <w:pPr>
              <w:jc w:val="center"/>
              <w:rPr>
                <w:rFonts w:hint="default" w:ascii="Times New Roman" w:hAnsi="Times New Roman" w:cs="Times New Roman"/>
                <w:color w:val="0000FF"/>
                <w:kern w:val="0"/>
                <w:sz w:val="21"/>
                <w:szCs w:val="21"/>
              </w:rPr>
            </w:pPr>
            <w:r>
              <w:rPr>
                <w:rFonts w:hint="default" w:ascii="Times New Roman" w:hAnsi="Times New Roman" w:eastAsia="宋体" w:cs="Times New Roman"/>
                <w:color w:val="000000"/>
                <w:kern w:val="0"/>
                <w:sz w:val="21"/>
                <w:szCs w:val="21"/>
                <w:lang w:val="en-US" w:eastAsia="zh-CN"/>
              </w:rPr>
              <w:t>1.31</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60</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0.142</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0.21</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Merge w:val="continue"/>
            <w:vAlign w:val="center"/>
          </w:tcPr>
          <w:p>
            <w:pPr>
              <w:jc w:val="center"/>
              <w:rPr>
                <w:rFonts w:hint="default" w:ascii="Times New Roman" w:hAnsi="Times New Roman" w:cs="Times New Roman"/>
                <w:b/>
                <w:color w:val="auto"/>
                <w:kern w:val="0"/>
                <w:sz w:val="21"/>
                <w:szCs w:val="21"/>
              </w:rPr>
            </w:pPr>
          </w:p>
        </w:tc>
        <w:tc>
          <w:tcPr>
            <w:tcW w:w="107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淡黄浑浊</w:t>
            </w:r>
          </w:p>
        </w:tc>
        <w:tc>
          <w:tcPr>
            <w:tcW w:w="1091"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7.43</w:t>
            </w:r>
          </w:p>
        </w:tc>
        <w:tc>
          <w:tcPr>
            <w:tcW w:w="866"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23</w:t>
            </w:r>
          </w:p>
        </w:tc>
        <w:tc>
          <w:tcPr>
            <w:tcW w:w="846" w:type="dxa"/>
            <w:vAlign w:val="center"/>
          </w:tcPr>
          <w:p>
            <w:pPr>
              <w:jc w:val="center"/>
              <w:rPr>
                <w:rFonts w:hint="default" w:ascii="Times New Roman" w:hAnsi="Times New Roman" w:cs="Times New Roman"/>
                <w:color w:val="0000FF"/>
                <w:kern w:val="0"/>
                <w:sz w:val="21"/>
                <w:szCs w:val="21"/>
              </w:rPr>
            </w:pPr>
            <w:r>
              <w:rPr>
                <w:rFonts w:hint="default" w:ascii="Times New Roman" w:hAnsi="Times New Roman" w:eastAsia="宋体" w:cs="Times New Roman"/>
                <w:color w:val="000000"/>
                <w:kern w:val="0"/>
                <w:sz w:val="21"/>
                <w:szCs w:val="21"/>
                <w:lang w:val="en-US" w:eastAsia="zh-CN"/>
              </w:rPr>
              <w:t>1.72</w:t>
            </w:r>
          </w:p>
        </w:tc>
        <w:tc>
          <w:tcPr>
            <w:tcW w:w="737" w:type="dxa"/>
            <w:vAlign w:val="center"/>
          </w:tcPr>
          <w:p>
            <w:pPr>
              <w:jc w:val="center"/>
              <w:rPr>
                <w:rFonts w:hint="default" w:ascii="Times New Roman" w:hAnsi="Times New Roman" w:cs="Times New Roman"/>
                <w:color w:val="auto"/>
                <w:kern w:val="0"/>
                <w:sz w:val="21"/>
                <w:szCs w:val="21"/>
              </w:rPr>
            </w:pPr>
            <w:r>
              <w:rPr>
                <w:rFonts w:hint="default" w:ascii="Times New Roman" w:hAnsi="Times New Roman" w:eastAsia="宋体" w:cs="Times New Roman"/>
                <w:color w:val="000000"/>
                <w:kern w:val="0"/>
                <w:sz w:val="21"/>
                <w:szCs w:val="21"/>
                <w:lang w:val="en-US" w:eastAsia="zh-CN"/>
              </w:rPr>
              <w:t>50</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0.132</w:t>
            </w:r>
          </w:p>
        </w:tc>
        <w:tc>
          <w:tcPr>
            <w:tcW w:w="79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0.22</w:t>
            </w:r>
          </w:p>
        </w:tc>
        <w:tc>
          <w:tcPr>
            <w:tcW w:w="790" w:type="dxa"/>
            <w:vAlign w:val="center"/>
          </w:tcPr>
          <w:p>
            <w:pPr>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0" w:type="dxa"/>
            <w:vMerge w:val="continue"/>
            <w:vAlign w:val="center"/>
          </w:tcPr>
          <w:p>
            <w:pPr>
              <w:jc w:val="center"/>
              <w:rPr>
                <w:rFonts w:hint="default" w:ascii="Times New Roman" w:hAnsi="Times New Roman" w:cs="Times New Roman"/>
                <w:color w:val="auto"/>
                <w:kern w:val="0"/>
                <w:sz w:val="21"/>
                <w:szCs w:val="21"/>
              </w:rPr>
            </w:pPr>
          </w:p>
        </w:tc>
        <w:tc>
          <w:tcPr>
            <w:tcW w:w="1164"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均值</w:t>
            </w:r>
          </w:p>
        </w:tc>
        <w:tc>
          <w:tcPr>
            <w:tcW w:w="1075" w:type="dxa"/>
            <w:vAlign w:val="center"/>
          </w:tcPr>
          <w:p>
            <w:pPr>
              <w:widowControl/>
              <w:jc w:val="center"/>
              <w:textAlignment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w:t>
            </w:r>
          </w:p>
        </w:tc>
        <w:tc>
          <w:tcPr>
            <w:tcW w:w="1091" w:type="dxa"/>
            <w:vAlign w:val="center"/>
          </w:tcPr>
          <w:p>
            <w:pPr>
              <w:spacing w:line="320" w:lineRule="exact"/>
              <w:jc w:val="center"/>
              <w:rPr>
                <w:rFonts w:hint="default" w:ascii="Times New Roman" w:hAnsi="Times New Roman" w:eastAsia="仿宋_GB2312" w:cs="Times New Roman"/>
                <w:b/>
                <w:bCs/>
                <w:color w:val="auto"/>
                <w:kern w:val="0"/>
                <w:sz w:val="21"/>
                <w:szCs w:val="21"/>
                <w:lang w:val="en-US" w:eastAsia="zh-CN"/>
              </w:rPr>
            </w:pPr>
            <w:r>
              <w:rPr>
                <w:rFonts w:hint="default" w:ascii="Times New Roman" w:hAnsi="Times New Roman" w:eastAsia="仿宋_GB2312" w:cs="Times New Roman"/>
                <w:b/>
                <w:bCs/>
                <w:sz w:val="21"/>
                <w:szCs w:val="21"/>
                <w:lang w:val="en-US" w:eastAsia="zh-CN"/>
              </w:rPr>
              <w:t>7.38</w:t>
            </w:r>
            <w:r>
              <w:rPr>
                <w:rFonts w:hint="default" w:ascii="Times New Roman" w:hAnsi="Times New Roman" w:eastAsia="仿宋_GB2312" w:cs="Times New Roman"/>
                <w:b/>
                <w:bCs/>
                <w:sz w:val="21"/>
                <w:szCs w:val="21"/>
              </w:rPr>
              <w:t>~</w:t>
            </w:r>
            <w:r>
              <w:rPr>
                <w:rFonts w:hint="default" w:ascii="Times New Roman" w:hAnsi="Times New Roman" w:eastAsia="仿宋_GB2312" w:cs="Times New Roman"/>
                <w:b/>
                <w:bCs/>
                <w:sz w:val="21"/>
                <w:szCs w:val="21"/>
                <w:lang w:val="en-US" w:eastAsia="zh-CN"/>
              </w:rPr>
              <w:t>7.65</w:t>
            </w:r>
          </w:p>
        </w:tc>
        <w:tc>
          <w:tcPr>
            <w:tcW w:w="866"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fldChar w:fldCharType="begin"/>
            </w:r>
            <w:r>
              <w:rPr>
                <w:rFonts w:hint="default" w:ascii="Times New Roman" w:hAnsi="Times New Roman" w:eastAsia="宋体" w:cs="Times New Roman"/>
                <w:b/>
                <w:bCs/>
                <w:color w:val="auto"/>
                <w:kern w:val="0"/>
                <w:sz w:val="21"/>
                <w:szCs w:val="21"/>
                <w:lang w:val="en-US" w:eastAsia="zh-CN"/>
              </w:rPr>
              <w:instrText xml:space="preserve"> = average(E7:E10) \* MERGEFORMAT </w:instrText>
            </w:r>
            <w:r>
              <w:rPr>
                <w:rFonts w:hint="default" w:ascii="Times New Roman" w:hAnsi="Times New Roman" w:eastAsia="宋体" w:cs="Times New Roman"/>
                <w:b/>
                <w:bCs/>
                <w:color w:val="auto"/>
                <w:kern w:val="0"/>
                <w:sz w:val="21"/>
                <w:szCs w:val="21"/>
                <w:lang w:val="en-US" w:eastAsia="zh-CN"/>
              </w:rPr>
              <w:fldChar w:fldCharType="separate"/>
            </w:r>
            <w:r>
              <w:rPr>
                <w:rFonts w:hint="default" w:ascii="Times New Roman" w:hAnsi="Times New Roman" w:eastAsia="宋体" w:cs="Times New Roman"/>
                <w:b/>
                <w:bCs/>
                <w:color w:val="auto"/>
                <w:kern w:val="0"/>
                <w:sz w:val="21"/>
                <w:szCs w:val="21"/>
                <w:lang w:val="en-US" w:eastAsia="zh-CN"/>
              </w:rPr>
              <w:t>23</w:t>
            </w:r>
            <w:r>
              <w:rPr>
                <w:rFonts w:hint="default" w:ascii="Times New Roman" w:hAnsi="Times New Roman" w:eastAsia="宋体" w:cs="Times New Roman"/>
                <w:b/>
                <w:bCs/>
                <w:color w:val="auto"/>
                <w:kern w:val="0"/>
                <w:sz w:val="21"/>
                <w:szCs w:val="21"/>
                <w:lang w:val="en-US" w:eastAsia="zh-CN"/>
              </w:rPr>
              <w:fldChar w:fldCharType="end"/>
            </w:r>
          </w:p>
        </w:tc>
        <w:tc>
          <w:tcPr>
            <w:tcW w:w="846"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1.54</w:t>
            </w:r>
          </w:p>
        </w:tc>
        <w:tc>
          <w:tcPr>
            <w:tcW w:w="737" w:type="dxa"/>
            <w:vAlign w:val="center"/>
          </w:tcPr>
          <w:p>
            <w:pPr>
              <w:spacing w:line="320" w:lineRule="exact"/>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53</w:t>
            </w:r>
          </w:p>
        </w:tc>
        <w:tc>
          <w:tcPr>
            <w:tcW w:w="790"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0.140</w:t>
            </w:r>
          </w:p>
        </w:tc>
        <w:tc>
          <w:tcPr>
            <w:tcW w:w="791"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0.21</w:t>
            </w:r>
          </w:p>
        </w:tc>
        <w:tc>
          <w:tcPr>
            <w:tcW w:w="790" w:type="dxa"/>
            <w:vAlign w:val="center"/>
          </w:tcPr>
          <w:p>
            <w:pPr>
              <w:spacing w:line="320" w:lineRule="exact"/>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1854" w:type="dxa"/>
            <w:gridSpan w:val="2"/>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标准值</w:t>
            </w:r>
          </w:p>
        </w:tc>
        <w:tc>
          <w:tcPr>
            <w:tcW w:w="1075" w:type="dxa"/>
            <w:vAlign w:val="center"/>
          </w:tcPr>
          <w:p>
            <w:pPr>
              <w:widowControl/>
              <w:jc w:val="center"/>
              <w:textAlignment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cs="Times New Roman"/>
                <w:b w:val="0"/>
                <w:bCs/>
                <w:color w:val="auto"/>
                <w:kern w:val="0"/>
                <w:sz w:val="21"/>
                <w:szCs w:val="21"/>
                <w:lang w:val="en-US" w:eastAsia="zh-CN"/>
              </w:rPr>
              <w:t>/</w:t>
            </w:r>
          </w:p>
        </w:tc>
        <w:tc>
          <w:tcPr>
            <w:tcW w:w="1091"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6~9</w:t>
            </w:r>
          </w:p>
        </w:tc>
        <w:tc>
          <w:tcPr>
            <w:tcW w:w="866"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500</w:t>
            </w:r>
          </w:p>
        </w:tc>
        <w:tc>
          <w:tcPr>
            <w:tcW w:w="846"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35</w:t>
            </w:r>
          </w:p>
        </w:tc>
        <w:tc>
          <w:tcPr>
            <w:tcW w:w="737"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400</w:t>
            </w:r>
          </w:p>
        </w:tc>
        <w:tc>
          <w:tcPr>
            <w:tcW w:w="790" w:type="dxa"/>
            <w:vAlign w:val="center"/>
          </w:tcPr>
          <w:p>
            <w:pPr>
              <w:jc w:val="center"/>
              <w:rPr>
                <w:rFonts w:hint="default" w:ascii="Times New Roman" w:hAnsi="Times New Roman" w:eastAsia="宋体" w:cs="Times New Roman"/>
                <w:b/>
                <w:color w:val="auto"/>
                <w:kern w:val="0"/>
                <w:sz w:val="21"/>
                <w:szCs w:val="21"/>
                <w:lang w:val="en-US" w:eastAsia="zh-CN"/>
              </w:rPr>
            </w:pPr>
            <w:r>
              <w:rPr>
                <w:rFonts w:hint="eastAsia" w:ascii="Times New Roman" w:hAnsi="Times New Roman" w:eastAsia="宋体" w:cs="Times New Roman"/>
                <w:b/>
                <w:color w:val="auto"/>
                <w:kern w:val="0"/>
                <w:sz w:val="21"/>
                <w:szCs w:val="21"/>
                <w:lang w:val="en-US" w:eastAsia="zh-CN"/>
              </w:rPr>
              <w:t>8</w:t>
            </w:r>
          </w:p>
        </w:tc>
        <w:tc>
          <w:tcPr>
            <w:tcW w:w="791" w:type="dxa"/>
            <w:vAlign w:val="center"/>
          </w:tcPr>
          <w:p>
            <w:pPr>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eastAsia="宋体" w:cs="Times New Roman"/>
                <w:b/>
                <w:color w:val="auto"/>
                <w:kern w:val="0"/>
                <w:sz w:val="21"/>
                <w:szCs w:val="21"/>
                <w:lang w:val="en-US" w:eastAsia="zh-CN"/>
              </w:rPr>
              <w:t>20</w:t>
            </w:r>
          </w:p>
        </w:tc>
        <w:tc>
          <w:tcPr>
            <w:tcW w:w="790" w:type="dxa"/>
            <w:vAlign w:val="center"/>
          </w:tcPr>
          <w:p>
            <w:pPr>
              <w:jc w:val="center"/>
              <w:rPr>
                <w:rFonts w:hint="default" w:ascii="Times New Roman" w:hAnsi="Times New Roman" w:eastAsia="宋体" w:cs="Times New Roman"/>
                <w:b/>
                <w:color w:val="auto"/>
                <w:kern w:val="0"/>
                <w:sz w:val="21"/>
                <w:szCs w:val="21"/>
                <w:lang w:val="en-US" w:eastAsia="zh-CN"/>
              </w:rPr>
            </w:pPr>
            <w:r>
              <w:rPr>
                <w:rFonts w:hint="eastAsia" w:ascii="Times New Roman" w:hAnsi="Times New Roman" w:eastAsia="宋体" w:cs="Times New Roman"/>
                <w:b/>
                <w:color w:val="auto"/>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54" w:type="dxa"/>
            <w:gridSpan w:val="2"/>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是否达标</w:t>
            </w:r>
          </w:p>
        </w:tc>
        <w:tc>
          <w:tcPr>
            <w:tcW w:w="1075" w:type="dxa"/>
            <w:vAlign w:val="top"/>
          </w:tcPr>
          <w:p>
            <w:pPr>
              <w:widowControl/>
              <w:jc w:val="center"/>
              <w:textAlignment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cs="Times New Roman"/>
                <w:b w:val="0"/>
                <w:bCs/>
                <w:color w:val="auto"/>
                <w:kern w:val="0"/>
                <w:sz w:val="21"/>
                <w:szCs w:val="21"/>
                <w:lang w:val="en-US" w:eastAsia="zh-CN"/>
              </w:rPr>
              <w:t>/</w:t>
            </w:r>
          </w:p>
        </w:tc>
        <w:tc>
          <w:tcPr>
            <w:tcW w:w="1091"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866"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846"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737" w:type="dxa"/>
            <w:vAlign w:val="center"/>
          </w:tcPr>
          <w:p>
            <w:pPr>
              <w:jc w:val="center"/>
              <w:rPr>
                <w:rFonts w:hint="default" w:ascii="Times New Roman" w:hAnsi="Times New Roman" w:eastAsia="仿宋_GB2312" w:cs="Times New Roman"/>
                <w:b/>
                <w:bCs/>
                <w:sz w:val="21"/>
                <w:szCs w:val="21"/>
              </w:rPr>
            </w:pPr>
            <w:r>
              <w:rPr>
                <w:rFonts w:hint="default" w:ascii="Times New Roman" w:hAnsi="Times New Roman" w:cs="Times New Roman"/>
                <w:b/>
                <w:color w:val="auto"/>
                <w:kern w:val="0"/>
                <w:sz w:val="21"/>
                <w:szCs w:val="21"/>
              </w:rPr>
              <w:t>达标</w:t>
            </w:r>
          </w:p>
        </w:tc>
        <w:tc>
          <w:tcPr>
            <w:tcW w:w="790" w:type="dxa"/>
            <w:vAlign w:val="center"/>
          </w:tcPr>
          <w:p>
            <w:pPr>
              <w:jc w:val="center"/>
              <w:rPr>
                <w:rFonts w:hint="default" w:ascii="Times New Roman" w:hAnsi="Times New Roman" w:cs="Times New Roman" w:eastAsiaTheme="minorEastAsia"/>
                <w:b/>
                <w:color w:val="auto"/>
                <w:kern w:val="0"/>
                <w:sz w:val="21"/>
                <w:szCs w:val="21"/>
                <w:lang w:val="en-US" w:eastAsia="zh-CN"/>
              </w:rPr>
            </w:pPr>
            <w:r>
              <w:rPr>
                <w:rFonts w:hint="default" w:ascii="Times New Roman" w:hAnsi="Times New Roman" w:cs="Times New Roman"/>
                <w:b/>
                <w:color w:val="auto"/>
                <w:kern w:val="0"/>
                <w:sz w:val="21"/>
                <w:szCs w:val="21"/>
              </w:rPr>
              <w:t>达标</w:t>
            </w:r>
          </w:p>
        </w:tc>
        <w:tc>
          <w:tcPr>
            <w:tcW w:w="791"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达标</w:t>
            </w:r>
          </w:p>
        </w:tc>
        <w:tc>
          <w:tcPr>
            <w:tcW w:w="790" w:type="dxa"/>
            <w:vAlign w:val="center"/>
          </w:tcPr>
          <w:p>
            <w:pPr>
              <w:jc w:val="center"/>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达标</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9.2.2废气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9.2.2.1</w:t>
      </w:r>
      <w:r>
        <w:rPr>
          <w:rFonts w:hint="default" w:ascii="Times New Roman" w:hAnsi="Times New Roman" w:cs="Times New Roman"/>
          <w:b/>
          <w:bCs/>
          <w:sz w:val="24"/>
          <w:szCs w:val="24"/>
          <w:lang w:val="en-US" w:eastAsia="zh-CN"/>
        </w:rPr>
        <w:t>有组织</w:t>
      </w:r>
      <w:r>
        <w:rPr>
          <w:rFonts w:hint="eastAsia" w:ascii="Times New Roman" w:hAnsi="Times New Roman" w:cs="Times New Roman"/>
          <w:b/>
          <w:bCs/>
          <w:sz w:val="24"/>
          <w:szCs w:val="24"/>
          <w:lang w:val="en-US" w:eastAsia="zh-CN"/>
        </w:rPr>
        <w:t>排放</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b w:val="0"/>
          <w:bCs w:val="0"/>
          <w:sz w:val="24"/>
          <w:szCs w:val="24"/>
          <w:highlight w:val="none"/>
          <w:vertAlign w:val="baseline"/>
          <w:lang w:val="en-US" w:eastAsia="zh-CN"/>
        </w:rPr>
      </w:pPr>
      <w:r>
        <w:rPr>
          <w:rFonts w:hint="default" w:ascii="Times New Roman" w:hAnsi="Times New Roman" w:cs="Times New Roman"/>
          <w:b w:val="0"/>
          <w:bCs w:val="0"/>
          <w:sz w:val="24"/>
          <w:szCs w:val="24"/>
          <w:lang w:val="en-US" w:eastAsia="zh-CN"/>
        </w:rPr>
        <w:t>嘉兴威正检测服务有限公司于</w:t>
      </w:r>
      <w:r>
        <w:rPr>
          <w:rFonts w:hint="default" w:ascii="Times New Roman" w:hAnsi="Times New Roman" w:cs="Times New Roman"/>
          <w:b w:val="0"/>
          <w:bCs w:val="0"/>
          <w:color w:val="auto"/>
          <w:sz w:val="24"/>
          <w:szCs w:val="24"/>
          <w:lang w:val="en-US" w:eastAsia="zh-CN"/>
        </w:rPr>
        <w:t>201</w:t>
      </w:r>
      <w:r>
        <w:rPr>
          <w:rFonts w:hint="eastAsia" w:ascii="Times New Roman" w:hAnsi="Times New Roman" w:cs="Times New Roman"/>
          <w:b w:val="0"/>
          <w:bCs w:val="0"/>
          <w:color w:val="auto"/>
          <w:sz w:val="24"/>
          <w:szCs w:val="24"/>
          <w:lang w:val="en-US" w:eastAsia="zh-CN"/>
        </w:rPr>
        <w:t>8</w:t>
      </w:r>
      <w:r>
        <w:rPr>
          <w:rFonts w:hint="default" w:ascii="Times New Roman" w:hAnsi="Times New Roman" w:cs="Times New Roman"/>
          <w:b w:val="0"/>
          <w:bCs w:val="0"/>
          <w:color w:val="auto"/>
          <w:sz w:val="24"/>
          <w:szCs w:val="24"/>
          <w:lang w:val="en-US" w:eastAsia="zh-CN"/>
        </w:rPr>
        <w:t>年</w:t>
      </w:r>
      <w:r>
        <w:rPr>
          <w:rFonts w:hint="eastAsia" w:ascii="Times New Roman" w:hAnsi="Times New Roman" w:cs="Times New Roman"/>
          <w:b w:val="0"/>
          <w:bCs w:val="0"/>
          <w:color w:val="auto"/>
          <w:sz w:val="24"/>
          <w:szCs w:val="24"/>
          <w:lang w:val="en-US" w:eastAsia="zh-CN"/>
        </w:rPr>
        <w:t>11月29日、11月30日</w:t>
      </w:r>
      <w:r>
        <w:rPr>
          <w:rFonts w:hint="default" w:ascii="Times New Roman" w:hAnsi="Times New Roman" w:cs="Times New Roman"/>
          <w:b w:val="0"/>
          <w:bCs w:val="0"/>
          <w:sz w:val="24"/>
          <w:szCs w:val="24"/>
          <w:lang w:val="en-US" w:eastAsia="zh-CN"/>
        </w:rPr>
        <w:t>对</w:t>
      </w:r>
      <w:r>
        <w:rPr>
          <w:rFonts w:hint="eastAsia" w:ascii="Times New Roman" w:hAnsi="Times New Roman" w:cs="Times New Roman"/>
          <w:sz w:val="24"/>
          <w:szCs w:val="24"/>
          <w:lang w:val="en-US" w:eastAsia="zh-CN"/>
        </w:rPr>
        <w:t>浙江德沃轴承有限公司有</w:t>
      </w:r>
      <w:r>
        <w:rPr>
          <w:rFonts w:hint="eastAsia" w:ascii="Times New Roman" w:hAnsi="Times New Roman" w:cs="Times New Roman"/>
          <w:b w:val="0"/>
          <w:bCs w:val="0"/>
          <w:sz w:val="24"/>
          <w:szCs w:val="24"/>
          <w:lang w:val="en-US" w:eastAsia="zh-CN"/>
        </w:rPr>
        <w:t>回火工序产生的有</w:t>
      </w:r>
      <w:r>
        <w:rPr>
          <w:rFonts w:hint="eastAsia" w:ascii="Times New Roman" w:hAnsi="Times New Roman" w:cs="Times New Roman"/>
          <w:sz w:val="24"/>
          <w:szCs w:val="24"/>
          <w:lang w:val="en-US" w:eastAsia="zh-CN"/>
        </w:rPr>
        <w:t>机废气的排放进行了现场监测。</w:t>
      </w:r>
      <w:r>
        <w:rPr>
          <w:rFonts w:hint="eastAsia" w:ascii="Times New Roman" w:hAnsi="Times New Roman" w:cs="Times New Roman"/>
          <w:b w:val="0"/>
          <w:bCs w:val="0"/>
          <w:sz w:val="24"/>
          <w:szCs w:val="24"/>
          <w:lang w:val="en-US" w:eastAsia="zh-CN"/>
        </w:rPr>
        <w:t>该</w:t>
      </w:r>
      <w:r>
        <w:rPr>
          <w:rFonts w:hint="default" w:ascii="Times New Roman" w:hAnsi="Times New Roman" w:cs="Times New Roman"/>
          <w:b w:val="0"/>
          <w:bCs w:val="0"/>
          <w:sz w:val="24"/>
          <w:szCs w:val="24"/>
          <w:lang w:val="en-US" w:eastAsia="zh-CN"/>
        </w:rPr>
        <w:t>废气经收集后再由</w:t>
      </w:r>
      <w:r>
        <w:rPr>
          <w:rFonts w:hint="eastAsia" w:ascii="Times New Roman" w:hAnsi="Times New Roman" w:cs="Times New Roman"/>
          <w:b w:val="0"/>
          <w:bCs w:val="0"/>
          <w:sz w:val="24"/>
          <w:szCs w:val="24"/>
          <w:lang w:val="en-US" w:eastAsia="zh-CN"/>
        </w:rPr>
        <w:t>静电处理</w:t>
      </w:r>
      <w:r>
        <w:rPr>
          <w:rFonts w:hint="default" w:ascii="Times New Roman" w:hAnsi="Times New Roman" w:cs="Times New Roman"/>
          <w:b w:val="0"/>
          <w:bCs w:val="0"/>
          <w:sz w:val="24"/>
          <w:szCs w:val="24"/>
          <w:lang w:val="en-US" w:eastAsia="zh-CN"/>
        </w:rPr>
        <w:t>，尾气通过15m高排气筒排放。</w:t>
      </w:r>
      <w:r>
        <w:rPr>
          <w:rFonts w:hint="eastAsia" w:ascii="Times New Roman" w:hAnsi="Times New Roman" w:cs="Times New Roman"/>
          <w:b w:val="0"/>
          <w:bCs w:val="0"/>
          <w:sz w:val="24"/>
          <w:szCs w:val="24"/>
          <w:lang w:val="en-US" w:eastAsia="zh-CN"/>
        </w:rPr>
        <w:t>非甲烷总烃</w:t>
      </w:r>
      <w:r>
        <w:rPr>
          <w:rFonts w:hint="default" w:ascii="Times New Roman" w:hAnsi="Times New Roman" w:cs="Times New Roman"/>
          <w:b w:val="0"/>
          <w:bCs w:val="0"/>
          <w:sz w:val="24"/>
          <w:szCs w:val="24"/>
          <w:lang w:val="en-US" w:eastAsia="zh-CN"/>
        </w:rPr>
        <w:t>的排放浓度均值为</w:t>
      </w:r>
      <w:r>
        <w:rPr>
          <w:rFonts w:hint="eastAsia" w:ascii="Times New Roman" w:hAnsi="Times New Roman" w:cs="Times New Roman"/>
          <w:b w:val="0"/>
          <w:bCs w:val="0"/>
          <w:sz w:val="24"/>
          <w:szCs w:val="24"/>
          <w:lang w:val="en-US" w:eastAsia="zh-CN"/>
        </w:rPr>
        <w:t>1.98</w:t>
      </w:r>
      <w:r>
        <w:rPr>
          <w:rFonts w:hint="default" w:ascii="Times New Roman" w:hAnsi="Times New Roman" w:cs="Times New Roman"/>
          <w:b w:val="0"/>
          <w:bCs w:val="0"/>
          <w:kern w:val="0"/>
          <w:sz w:val="24"/>
          <w:szCs w:val="24"/>
        </w:rPr>
        <w:t>mg/m</w:t>
      </w:r>
      <w:r>
        <w:rPr>
          <w:rFonts w:hint="default" w:ascii="Times New Roman" w:hAnsi="Times New Roman" w:cs="Times New Roman"/>
          <w:b w:val="0"/>
          <w:bCs w:val="0"/>
          <w:kern w:val="0"/>
          <w:sz w:val="24"/>
          <w:szCs w:val="24"/>
          <w:vertAlign w:val="superscript"/>
        </w:rPr>
        <w:t>3</w:t>
      </w:r>
      <w:r>
        <w:rPr>
          <w:rFonts w:hint="default" w:ascii="Times New Roman" w:hAnsi="Times New Roman" w:cs="Times New Roman" w:eastAsiaTheme="minorEastAsia"/>
          <w:b w:val="0"/>
          <w:bCs w:val="0"/>
          <w:kern w:val="0"/>
          <w:sz w:val="24"/>
          <w:szCs w:val="24"/>
          <w:vertAlign w:val="baseline"/>
          <w:lang w:eastAsia="zh-CN"/>
        </w:rPr>
        <w:t>，</w:t>
      </w:r>
      <w:r>
        <w:rPr>
          <w:rFonts w:hint="default" w:ascii="Times New Roman" w:hAnsi="Times New Roman" w:cs="Times New Roman"/>
          <w:b w:val="0"/>
          <w:bCs w:val="0"/>
          <w:kern w:val="0"/>
          <w:sz w:val="24"/>
          <w:szCs w:val="24"/>
          <w:vertAlign w:val="baseline"/>
          <w:lang w:val="en-US" w:eastAsia="zh-CN"/>
        </w:rPr>
        <w:t>排放速率均值为</w:t>
      </w:r>
      <w:r>
        <w:rPr>
          <w:rFonts w:hint="eastAsia" w:ascii="Times New Roman" w:hAnsi="Times New Roman" w:cs="Times New Roman"/>
          <w:b w:val="0"/>
          <w:bCs w:val="0"/>
          <w:sz w:val="24"/>
          <w:szCs w:val="24"/>
          <w:lang w:val="en-US" w:eastAsia="zh-CN"/>
        </w:rPr>
        <w:t>1.72</w:t>
      </w:r>
      <w:r>
        <w:rPr>
          <w:rFonts w:hint="default" w:ascii="Times New Roman" w:hAnsi="Times New Roman" w:eastAsia="宋体" w:cs="Times New Roman"/>
          <w:b w:val="0"/>
          <w:bCs w:val="0"/>
          <w:sz w:val="24"/>
          <w:szCs w:val="24"/>
          <w:lang w:val="en-US" w:eastAsia="zh-CN"/>
        </w:rPr>
        <w:t>×10</w:t>
      </w:r>
      <w:r>
        <w:rPr>
          <w:rFonts w:hint="eastAsia" w:ascii="Times New Roman" w:hAnsi="Times New Roman" w:eastAsia="宋体" w:cs="Times New Roman"/>
          <w:b w:val="0"/>
          <w:bCs w:val="0"/>
          <w:sz w:val="24"/>
          <w:szCs w:val="24"/>
          <w:vertAlign w:val="superscript"/>
          <w:lang w:val="en-US" w:eastAsia="zh-CN"/>
        </w:rPr>
        <w:t>-2</w:t>
      </w:r>
      <w:r>
        <w:rPr>
          <w:rFonts w:hint="default" w:ascii="Times New Roman" w:hAnsi="Times New Roman" w:cs="Times New Roman" w:eastAsiaTheme="minorEastAsia"/>
          <w:b w:val="0"/>
          <w:bCs w:val="0"/>
          <w:sz w:val="24"/>
          <w:szCs w:val="24"/>
          <w:highlight w:val="none"/>
          <w:vertAlign w:val="baseline"/>
          <w:lang w:val="en-US" w:eastAsia="zh-CN"/>
        </w:rPr>
        <w:t>kg/h</w:t>
      </w:r>
      <w:r>
        <w:rPr>
          <w:rFonts w:hint="eastAsia" w:ascii="Times New Roman" w:hAnsi="Times New Roman" w:cs="Times New Roman"/>
          <w:b w:val="0"/>
          <w:bCs w:val="0"/>
          <w:sz w:val="24"/>
          <w:szCs w:val="24"/>
          <w:highlight w:val="none"/>
          <w:vertAlign w:val="baseline"/>
          <w:lang w:val="en-US" w:eastAsia="zh-CN"/>
        </w:rPr>
        <w:t>，静电处理效率为53.2%。</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rPr>
        <w:t>监测结果表明，</w:t>
      </w:r>
      <w:r>
        <w:rPr>
          <w:rFonts w:hint="eastAsia" w:ascii="Times New Roman" w:hAnsi="Times New Roman" w:cs="Times New Roman"/>
          <w:sz w:val="24"/>
          <w:szCs w:val="24"/>
          <w:lang w:val="en-US" w:eastAsia="zh-CN"/>
        </w:rPr>
        <w:t>非甲烷总烃</w:t>
      </w:r>
      <w:r>
        <w:rPr>
          <w:rFonts w:hint="default" w:ascii="Times New Roman" w:hAnsi="Times New Roman" w:cs="Times New Roman"/>
          <w:sz w:val="24"/>
          <w:szCs w:val="24"/>
          <w:lang w:val="en-US" w:eastAsia="zh-CN"/>
        </w:rPr>
        <w:t>的</w:t>
      </w:r>
      <w:r>
        <w:rPr>
          <w:rFonts w:hint="default" w:ascii="Times New Roman" w:hAnsi="Times New Roman" w:cs="Times New Roman"/>
          <w:sz w:val="24"/>
          <w:szCs w:val="24"/>
        </w:rPr>
        <w:t>排放浓度</w:t>
      </w:r>
      <w:r>
        <w:rPr>
          <w:rFonts w:hint="eastAsia" w:ascii="Times New Roman" w:hAnsi="Times New Roman" w:cs="Times New Roman"/>
          <w:sz w:val="24"/>
          <w:szCs w:val="24"/>
          <w:lang w:val="en-US" w:eastAsia="zh-CN"/>
        </w:rPr>
        <w:t>及排放速率均达到</w:t>
      </w:r>
      <w:r>
        <w:rPr>
          <w:rFonts w:hint="default" w:ascii="Times New Roman" w:hAnsi="Times New Roman" w:cs="Times New Roman"/>
          <w:color w:val="auto"/>
          <w:sz w:val="24"/>
          <w:szCs w:val="24"/>
        </w:rPr>
        <w:t>《</w:t>
      </w:r>
      <w:r>
        <w:rPr>
          <w:rFonts w:hint="default" w:ascii="Times New Roman" w:hAnsi="Times New Roman" w:cs="Times New Roman"/>
          <w:sz w:val="24"/>
          <w:szCs w:val="24"/>
        </w:rPr>
        <w:t>大气污染物综合排放标准》（GB16297-1996）</w:t>
      </w:r>
      <w:r>
        <w:rPr>
          <w:rFonts w:hint="default" w:ascii="Times New Roman" w:hAnsi="Times New Roman" w:cs="Times New Roman"/>
          <w:color w:val="auto"/>
          <w:sz w:val="24"/>
          <w:szCs w:val="24"/>
        </w:rPr>
        <w:t>表2中</w:t>
      </w:r>
      <w:r>
        <w:rPr>
          <w:rFonts w:hint="eastAsia" w:ascii="Times New Roman" w:hAnsi="Times New Roman" w:cs="Times New Roman"/>
          <w:color w:val="auto"/>
          <w:sz w:val="24"/>
          <w:szCs w:val="24"/>
          <w:lang w:val="en-US" w:eastAsia="zh-CN"/>
        </w:rPr>
        <w:t>的二级标准。</w:t>
      </w:r>
      <w:r>
        <w:rPr>
          <w:rFonts w:hint="eastAsia" w:ascii="Times New Roman" w:hAnsi="Times New Roman" w:cs="Times New Roman"/>
          <w:sz w:val="24"/>
          <w:szCs w:val="24"/>
          <w:lang w:val="en-US" w:eastAsia="zh-CN"/>
        </w:rPr>
        <w:t>非甲烷总烃</w:t>
      </w:r>
      <w:r>
        <w:rPr>
          <w:rFonts w:hint="default" w:ascii="Times New Roman" w:hAnsi="Times New Roman" w:cs="Times New Roman"/>
          <w:sz w:val="24"/>
          <w:szCs w:val="24"/>
          <w:lang w:val="en-US" w:eastAsia="zh-CN"/>
        </w:rPr>
        <w:t>的排放浓度</w:t>
      </w:r>
      <w:r>
        <w:rPr>
          <w:rFonts w:hint="eastAsia" w:ascii="Times New Roman" w:hAnsi="Times New Roman" w:cs="Times New Roman"/>
          <w:sz w:val="24"/>
          <w:szCs w:val="24"/>
          <w:lang w:val="en-US" w:eastAsia="zh-CN"/>
        </w:rPr>
        <w:t>及排放速率</w:t>
      </w:r>
      <w:r>
        <w:rPr>
          <w:rFonts w:hint="default" w:ascii="Times New Roman" w:hAnsi="Times New Roman" w:cs="Times New Roman"/>
          <w:sz w:val="24"/>
          <w:szCs w:val="24"/>
          <w:lang w:val="en-US" w:eastAsia="zh-CN"/>
        </w:rPr>
        <w:t>单项次达标率为100%。</w:t>
      </w:r>
    </w:p>
    <w:p>
      <w:pPr>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有机废气</w:t>
      </w:r>
      <w:r>
        <w:rPr>
          <w:rFonts w:hint="default" w:ascii="Times New Roman" w:hAnsi="Times New Roman" w:cs="Times New Roman"/>
          <w:sz w:val="24"/>
          <w:szCs w:val="24"/>
        </w:rPr>
        <w:t>有组织排放监测结果见表9-3</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rPr>
        <w:t xml:space="preserve">表9-3  </w:t>
      </w:r>
      <w:r>
        <w:rPr>
          <w:rFonts w:hint="eastAsia" w:ascii="Times New Roman" w:hAnsi="Times New Roman" w:cs="Times New Roman"/>
          <w:b/>
          <w:bCs/>
          <w:lang w:val="en-US" w:eastAsia="zh-CN"/>
        </w:rPr>
        <w:t>有机废气</w:t>
      </w:r>
      <w:r>
        <w:rPr>
          <w:rFonts w:hint="default" w:ascii="Times New Roman" w:hAnsi="Times New Roman" w:cs="Times New Roman"/>
          <w:b/>
          <w:bCs/>
        </w:rPr>
        <w:t>有组织监测结果（单位：浓度</w:t>
      </w:r>
      <w:r>
        <w:rPr>
          <w:rFonts w:hint="default" w:ascii="Times New Roman" w:hAnsi="Times New Roman" w:cs="Times New Roman"/>
          <w:b/>
          <w:bCs/>
          <w:kern w:val="0"/>
        </w:rPr>
        <w:t>为mg/m</w:t>
      </w:r>
      <w:r>
        <w:rPr>
          <w:rFonts w:hint="default" w:ascii="Times New Roman" w:hAnsi="Times New Roman" w:cs="Times New Roman"/>
          <w:b/>
          <w:bCs/>
          <w:kern w:val="0"/>
          <w:vertAlign w:val="superscript"/>
        </w:rPr>
        <w:t>3</w:t>
      </w:r>
      <w:r>
        <w:rPr>
          <w:rFonts w:hint="default" w:ascii="Times New Roman" w:hAnsi="Times New Roman" w:cs="Times New Roman"/>
          <w:b/>
          <w:bCs/>
          <w:kern w:val="0"/>
        </w:rPr>
        <w:t>，速率为kg/h</w:t>
      </w:r>
      <w:r>
        <w:rPr>
          <w:rFonts w:hint="default" w:ascii="Times New Roman" w:hAnsi="Times New Roman" w:cs="Times New Roman"/>
          <w:b/>
          <w:bCs/>
        </w:rPr>
        <w:t>）</w:t>
      </w:r>
    </w:p>
    <w:tbl>
      <w:tblPr>
        <w:tblStyle w:val="16"/>
        <w:tblW w:w="1360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86"/>
        <w:gridCol w:w="1590"/>
        <w:gridCol w:w="1290"/>
        <w:gridCol w:w="1252"/>
        <w:gridCol w:w="1549"/>
        <w:gridCol w:w="1548"/>
        <w:gridCol w:w="1549"/>
        <w:gridCol w:w="1486"/>
        <w:gridCol w:w="1086"/>
        <w:gridCol w:w="1"/>
        <w:gridCol w:w="10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restart"/>
            <w:tcBorders>
              <w:top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监测日期</w:t>
            </w:r>
          </w:p>
        </w:tc>
        <w:tc>
          <w:tcPr>
            <w:tcW w:w="1590" w:type="dxa"/>
            <w:vMerge w:val="restart"/>
            <w:tcBorders>
              <w:top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监测点位</w:t>
            </w:r>
          </w:p>
        </w:tc>
        <w:tc>
          <w:tcPr>
            <w:tcW w:w="2542" w:type="dxa"/>
            <w:gridSpan w:val="2"/>
            <w:vMerge w:val="restart"/>
            <w:tcBorders>
              <w:top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监测因子</w:t>
            </w:r>
          </w:p>
        </w:tc>
        <w:tc>
          <w:tcPr>
            <w:tcW w:w="6132" w:type="dxa"/>
            <w:gridSpan w:val="4"/>
            <w:tcBorders>
              <w:top w:val="single" w:color="auto" w:sz="4" w:space="0"/>
              <w:right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监测结果</w:t>
            </w:r>
          </w:p>
        </w:tc>
        <w:tc>
          <w:tcPr>
            <w:tcW w:w="1086" w:type="dxa"/>
            <w:vMerge w:val="restart"/>
            <w:tcBorders>
              <w:top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执行标准</w:t>
            </w:r>
          </w:p>
        </w:tc>
        <w:tc>
          <w:tcPr>
            <w:tcW w:w="1070" w:type="dxa"/>
            <w:gridSpan w:val="2"/>
            <w:vMerge w:val="restart"/>
            <w:tcBorders>
              <w:top w:val="single" w:color="auto" w:sz="4" w:space="0"/>
            </w:tcBorders>
            <w:vAlign w:val="center"/>
          </w:tcPr>
          <w:p>
            <w:pPr>
              <w:widowControl/>
              <w:jc w:val="center"/>
              <w:rPr>
                <w:rFonts w:hint="default" w:ascii="Times New Roman" w:hAnsi="Times New Roman" w:cs="Times New Roman" w:eastAsiaTheme="minorEastAsia"/>
                <w:b/>
                <w:bCs/>
                <w:kern w:val="0"/>
                <w:sz w:val="21"/>
                <w:szCs w:val="21"/>
                <w:lang w:val="en-US" w:eastAsia="zh-CN"/>
              </w:rPr>
            </w:pPr>
            <w:r>
              <w:rPr>
                <w:rFonts w:hint="default" w:ascii="Times New Roman" w:hAnsi="Times New Roman" w:cs="Times New Roman"/>
                <w:b/>
                <w:bCs/>
                <w:kern w:val="0"/>
                <w:sz w:val="21"/>
                <w:szCs w:val="21"/>
                <w:lang w:val="en-US" w:eastAsia="zh-CN"/>
              </w:rPr>
              <w:t>处理效率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widowControl/>
              <w:jc w:val="center"/>
              <w:rPr>
                <w:rFonts w:hint="default" w:ascii="Times New Roman" w:hAnsi="Times New Roman" w:cs="Times New Roman"/>
                <w:b/>
                <w:bCs/>
                <w:kern w:val="0"/>
                <w:sz w:val="21"/>
                <w:szCs w:val="21"/>
              </w:rPr>
            </w:pPr>
          </w:p>
        </w:tc>
        <w:tc>
          <w:tcPr>
            <w:tcW w:w="1590" w:type="dxa"/>
            <w:vMerge w:val="continue"/>
            <w:vAlign w:val="center"/>
          </w:tcPr>
          <w:p>
            <w:pPr>
              <w:widowControl/>
              <w:jc w:val="center"/>
              <w:rPr>
                <w:rFonts w:hint="default" w:ascii="Times New Roman" w:hAnsi="Times New Roman" w:cs="Times New Roman"/>
                <w:b/>
                <w:bCs/>
                <w:kern w:val="0"/>
                <w:sz w:val="21"/>
                <w:szCs w:val="21"/>
              </w:rPr>
            </w:pPr>
          </w:p>
        </w:tc>
        <w:tc>
          <w:tcPr>
            <w:tcW w:w="2542" w:type="dxa"/>
            <w:gridSpan w:val="2"/>
            <w:vMerge w:val="continue"/>
            <w:vAlign w:val="center"/>
          </w:tcPr>
          <w:p>
            <w:pPr>
              <w:widowControl/>
              <w:jc w:val="center"/>
              <w:rPr>
                <w:rFonts w:hint="default" w:ascii="Times New Roman" w:hAnsi="Times New Roman" w:cs="Times New Roman"/>
                <w:b/>
                <w:bCs/>
                <w:kern w:val="0"/>
                <w:sz w:val="21"/>
                <w:szCs w:val="21"/>
              </w:rPr>
            </w:pPr>
          </w:p>
        </w:tc>
        <w:tc>
          <w:tcPr>
            <w:tcW w:w="1549" w:type="dxa"/>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1</w:t>
            </w:r>
          </w:p>
        </w:tc>
        <w:tc>
          <w:tcPr>
            <w:tcW w:w="1548" w:type="dxa"/>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2</w:t>
            </w:r>
          </w:p>
        </w:tc>
        <w:tc>
          <w:tcPr>
            <w:tcW w:w="1549" w:type="dxa"/>
            <w:tcBorders>
              <w:right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3</w:t>
            </w:r>
          </w:p>
        </w:tc>
        <w:tc>
          <w:tcPr>
            <w:tcW w:w="1486" w:type="dxa"/>
            <w:tcBorders>
              <w:left w:val="single" w:color="auto" w:sz="4" w:space="0"/>
            </w:tcBorders>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平均值</w:t>
            </w:r>
          </w:p>
        </w:tc>
        <w:tc>
          <w:tcPr>
            <w:tcW w:w="1087" w:type="dxa"/>
            <w:gridSpan w:val="2"/>
            <w:vMerge w:val="continue"/>
            <w:vAlign w:val="center"/>
          </w:tcPr>
          <w:p>
            <w:pPr>
              <w:widowControl/>
              <w:jc w:val="center"/>
              <w:rPr>
                <w:rFonts w:hint="default" w:ascii="Times New Roman" w:hAnsi="Times New Roman" w:cs="Times New Roman" w:eastAsiaTheme="minorEastAsia"/>
                <w:b/>
                <w:bCs/>
                <w:kern w:val="0"/>
                <w:sz w:val="21"/>
                <w:szCs w:val="21"/>
                <w:lang w:val="en-US" w:eastAsia="zh-CN"/>
              </w:rPr>
            </w:pPr>
          </w:p>
        </w:tc>
        <w:tc>
          <w:tcPr>
            <w:tcW w:w="1069" w:type="dxa"/>
            <w:vMerge w:val="continue"/>
            <w:vAlign w:val="center"/>
          </w:tcPr>
          <w:p>
            <w:pPr>
              <w:widowControl/>
              <w:jc w:val="center"/>
              <w:rPr>
                <w:rFonts w:hint="default" w:ascii="Times New Roman" w:hAnsi="Times New Roman"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restart"/>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201</w:t>
            </w:r>
            <w:r>
              <w:rPr>
                <w:rFonts w:hint="eastAsia" w:ascii="Times New Roman" w:hAnsi="Times New Roman" w:cs="Times New Roman"/>
                <w:kern w:val="0"/>
                <w:sz w:val="21"/>
                <w:szCs w:val="21"/>
                <w:lang w:val="en-US" w:eastAsia="zh-CN"/>
              </w:rPr>
              <w:t>8</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11</w:t>
            </w:r>
            <w:r>
              <w:rPr>
                <w:rFonts w:hint="default" w:ascii="Times New Roman" w:hAnsi="Times New Roman" w:cs="Times New Roman"/>
                <w:kern w:val="0"/>
                <w:sz w:val="21"/>
                <w:szCs w:val="21"/>
                <w:lang w:val="en-US" w:eastAsia="zh-CN"/>
              </w:rPr>
              <w:t>.2</w:t>
            </w:r>
            <w:r>
              <w:rPr>
                <w:rFonts w:hint="eastAsia" w:ascii="Times New Roman" w:hAnsi="Times New Roman" w:cs="Times New Roman"/>
                <w:kern w:val="0"/>
                <w:sz w:val="21"/>
                <w:szCs w:val="21"/>
                <w:lang w:val="en-US" w:eastAsia="zh-CN"/>
              </w:rPr>
              <w:t>9</w:t>
            </w:r>
          </w:p>
        </w:tc>
        <w:tc>
          <w:tcPr>
            <w:tcW w:w="1590" w:type="dxa"/>
            <w:vMerge w:val="restart"/>
            <w:tcBorders>
              <w:top w:val="single" w:color="auto" w:sz="4" w:space="0"/>
            </w:tcBorders>
            <w:vAlign w:val="center"/>
          </w:tcPr>
          <w:p>
            <w:pPr>
              <w:widowControl/>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kern w:val="0"/>
                <w:sz w:val="21"/>
                <w:szCs w:val="21"/>
                <w:lang w:val="en-US" w:eastAsia="zh-CN"/>
              </w:rPr>
              <w:t>静电处理装置</w:t>
            </w:r>
            <w:r>
              <w:rPr>
                <w:rFonts w:hint="default" w:ascii="Times New Roman" w:hAnsi="Times New Roman" w:cs="Times New Roman"/>
                <w:kern w:val="0"/>
                <w:sz w:val="21"/>
                <w:szCs w:val="21"/>
                <w:lang w:val="en-US" w:eastAsia="zh-CN"/>
              </w:rPr>
              <w:t>进口</w:t>
            </w:r>
          </w:p>
        </w:tc>
        <w:tc>
          <w:tcPr>
            <w:tcW w:w="1290" w:type="dxa"/>
            <w:vMerge w:val="restart"/>
            <w:tcBorders>
              <w:top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kern w:val="0"/>
                <w:sz w:val="21"/>
                <w:szCs w:val="21"/>
                <w:lang w:val="en-US" w:eastAsia="zh-CN"/>
              </w:rPr>
              <w:t>非甲烷总烃</w:t>
            </w:r>
          </w:p>
        </w:tc>
        <w:tc>
          <w:tcPr>
            <w:tcW w:w="1252" w:type="dxa"/>
            <w:tcBorders>
              <w:lef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549" w:type="dxa"/>
            <w:vAlign w:val="center"/>
          </w:tcPr>
          <w:p>
            <w:pPr>
              <w:keepNext w:val="0"/>
              <w:keepLines w:val="0"/>
              <w:widowControl/>
              <w:suppressLineNumbers w:val="0"/>
              <w:jc w:val="center"/>
              <w:textAlignment w:val="center"/>
              <w:rPr>
                <w:rFonts w:hint="default" w:ascii="Times New Roman" w:hAnsi="Times New Roman" w:cs="Times New Roman"/>
                <w:kern w:val="0"/>
                <w:sz w:val="21"/>
                <w:szCs w:val="21"/>
              </w:rPr>
            </w:pPr>
            <w:r>
              <w:rPr>
                <w:rFonts w:hint="eastAsia" w:ascii="Times New Roman" w:hAnsi="Times New Roman" w:eastAsia="宋体" w:cs="Times New Roman"/>
                <w:color w:val="auto"/>
                <w:kern w:val="0"/>
                <w:sz w:val="21"/>
                <w:szCs w:val="21"/>
                <w:lang w:val="en-US" w:eastAsia="zh-CN"/>
              </w:rPr>
              <w:t>3.84</w:t>
            </w:r>
          </w:p>
        </w:tc>
        <w:tc>
          <w:tcPr>
            <w:tcW w:w="1548" w:type="dxa"/>
            <w:vAlign w:val="center"/>
          </w:tcPr>
          <w:p>
            <w:pPr>
              <w:jc w:val="center"/>
              <w:rPr>
                <w:rFonts w:hint="default" w:ascii="Times New Roman" w:hAnsi="Times New Roman" w:cs="Times New Roman"/>
                <w:kern w:val="0"/>
                <w:sz w:val="21"/>
                <w:szCs w:val="21"/>
              </w:rPr>
            </w:pPr>
            <w:r>
              <w:rPr>
                <w:rFonts w:hint="eastAsia" w:ascii="Times New Roman" w:hAnsi="Times New Roman" w:eastAsia="宋体" w:cs="Times New Roman"/>
                <w:color w:val="auto"/>
                <w:kern w:val="0"/>
                <w:sz w:val="21"/>
                <w:szCs w:val="21"/>
                <w:lang w:val="en-US" w:eastAsia="zh-CN"/>
              </w:rPr>
              <w:t>4.27</w:t>
            </w:r>
          </w:p>
        </w:tc>
        <w:tc>
          <w:tcPr>
            <w:tcW w:w="1549" w:type="dxa"/>
            <w:tcBorders>
              <w:right w:val="single" w:color="auto" w:sz="4" w:space="0"/>
            </w:tcBorders>
            <w:vAlign w:val="center"/>
          </w:tcPr>
          <w:p>
            <w:pPr>
              <w:jc w:val="center"/>
              <w:rPr>
                <w:rFonts w:hint="default" w:ascii="Times New Roman" w:hAnsi="Times New Roman" w:cs="Times New Roman"/>
                <w:kern w:val="0"/>
                <w:sz w:val="21"/>
                <w:szCs w:val="21"/>
              </w:rPr>
            </w:pPr>
            <w:r>
              <w:rPr>
                <w:rFonts w:hint="eastAsia" w:ascii="Times New Roman" w:hAnsi="Times New Roman" w:eastAsia="宋体" w:cs="Times New Roman"/>
                <w:color w:val="auto"/>
                <w:kern w:val="0"/>
                <w:sz w:val="21"/>
                <w:szCs w:val="21"/>
                <w:lang w:val="en-US" w:eastAsia="zh-CN"/>
              </w:rPr>
              <w:t>4.06</w:t>
            </w:r>
          </w:p>
        </w:tc>
        <w:tc>
          <w:tcPr>
            <w:tcW w:w="1486" w:type="dxa"/>
            <w:tcBorders>
              <w:left w:val="single" w:color="auto" w:sz="4" w:space="0"/>
            </w:tcBorders>
            <w:vAlign w:val="center"/>
          </w:tcPr>
          <w:p>
            <w:pPr>
              <w:jc w:val="center"/>
              <w:rPr>
                <w:rFonts w:hint="default" w:ascii="Times New Roman" w:hAnsi="Times New Roman" w:cs="Times New Roman" w:eastAsiaTheme="minorEastAsia"/>
                <w:b/>
                <w:bCs/>
                <w:kern w:val="0"/>
                <w:sz w:val="21"/>
                <w:szCs w:val="21"/>
                <w:lang w:val="en-US" w:eastAsia="zh-CN"/>
              </w:rPr>
            </w:pPr>
            <w:r>
              <w:rPr>
                <w:rFonts w:hint="eastAsia" w:ascii="Times New Roman" w:hAnsi="Times New Roman" w:cs="Times New Roman"/>
                <w:b/>
                <w:bCs/>
                <w:kern w:val="0"/>
                <w:sz w:val="21"/>
                <w:szCs w:val="21"/>
                <w:lang w:val="en-US" w:eastAsia="zh-CN"/>
              </w:rPr>
              <w:t>4.06</w:t>
            </w:r>
          </w:p>
        </w:tc>
        <w:tc>
          <w:tcPr>
            <w:tcW w:w="1087" w:type="dxa"/>
            <w:gridSpan w:val="2"/>
            <w:vAlign w:val="center"/>
          </w:tcPr>
          <w:p>
            <w:pPr>
              <w:widowControl/>
              <w:jc w:val="center"/>
              <w:rPr>
                <w:rFonts w:hint="default" w:ascii="Times New Roman" w:hAnsi="Times New Roman" w:cs="Times New Roman" w:eastAsiaTheme="minorEastAsia"/>
                <w:b/>
                <w:bCs/>
                <w:kern w:val="0"/>
                <w:sz w:val="21"/>
                <w:szCs w:val="21"/>
                <w:lang w:val="en-US" w:eastAsia="zh-CN"/>
              </w:rPr>
            </w:pPr>
            <w:r>
              <w:rPr>
                <w:rFonts w:hint="default" w:ascii="Times New Roman" w:hAnsi="Times New Roman" w:cs="Times New Roman"/>
                <w:b/>
                <w:bCs/>
                <w:sz w:val="21"/>
                <w:szCs w:val="21"/>
                <w:lang w:val="en-US" w:eastAsia="zh-CN"/>
              </w:rPr>
              <w:t>/</w:t>
            </w:r>
          </w:p>
        </w:tc>
        <w:tc>
          <w:tcPr>
            <w:tcW w:w="1069" w:type="dxa"/>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widowControl/>
              <w:jc w:val="center"/>
              <w:rPr>
                <w:rFonts w:hint="default" w:ascii="Times New Roman" w:hAnsi="Times New Roman" w:cs="Times New Roman"/>
                <w:kern w:val="0"/>
                <w:sz w:val="21"/>
                <w:szCs w:val="21"/>
              </w:rPr>
            </w:pPr>
          </w:p>
        </w:tc>
        <w:tc>
          <w:tcPr>
            <w:tcW w:w="1590" w:type="dxa"/>
            <w:vMerge w:val="continue"/>
            <w:vAlign w:val="center"/>
          </w:tcPr>
          <w:p>
            <w:pPr>
              <w:widowControl/>
              <w:jc w:val="center"/>
              <w:rPr>
                <w:rFonts w:hint="default" w:ascii="Times New Roman" w:hAnsi="Times New Roman" w:cs="Times New Roman"/>
                <w:kern w:val="0"/>
                <w:sz w:val="21"/>
                <w:szCs w:val="21"/>
              </w:rPr>
            </w:pPr>
          </w:p>
        </w:tc>
        <w:tc>
          <w:tcPr>
            <w:tcW w:w="1290" w:type="dxa"/>
            <w:vMerge w:val="continue"/>
            <w:tcBorders>
              <w:right w:val="single" w:color="auto" w:sz="4" w:space="0"/>
            </w:tcBorders>
            <w:vAlign w:val="center"/>
          </w:tcPr>
          <w:p>
            <w:pPr>
              <w:widowControl/>
              <w:jc w:val="center"/>
              <w:rPr>
                <w:rFonts w:hint="default" w:ascii="Times New Roman" w:hAnsi="Times New Roman" w:cs="Times New Roman"/>
                <w:kern w:val="0"/>
                <w:sz w:val="21"/>
                <w:szCs w:val="21"/>
              </w:rPr>
            </w:pPr>
          </w:p>
        </w:tc>
        <w:tc>
          <w:tcPr>
            <w:tcW w:w="1252" w:type="dxa"/>
            <w:tcBorders>
              <w:lef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549" w:type="dxa"/>
            <w:vAlign w:val="center"/>
          </w:tcPr>
          <w:p>
            <w:pPr>
              <w:keepNext w:val="0"/>
              <w:keepLines w:val="0"/>
              <w:widowControl/>
              <w:suppressLineNumbers w:val="0"/>
              <w:jc w:val="center"/>
              <w:textAlignment w:val="center"/>
              <w:rPr>
                <w:rFonts w:hint="default" w:ascii="Times New Roman" w:hAnsi="Times New Roman" w:cs="Times New Roman"/>
                <w:kern w:val="0"/>
                <w:sz w:val="21"/>
                <w:szCs w:val="21"/>
              </w:rPr>
            </w:pPr>
            <w:r>
              <w:rPr>
                <w:rFonts w:hint="eastAsia" w:ascii="Times New Roman" w:hAnsi="Times New Roman" w:eastAsia="宋体" w:cs="Times New Roman"/>
                <w:i w:val="0"/>
                <w:color w:val="auto"/>
                <w:kern w:val="0"/>
                <w:sz w:val="21"/>
                <w:szCs w:val="21"/>
                <w:u w:val="none"/>
                <w:lang w:val="en-US" w:eastAsia="zh-CN" w:bidi="ar"/>
              </w:rPr>
              <w:t>3.34</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8" w:type="dxa"/>
            <w:vAlign w:val="center"/>
          </w:tcPr>
          <w:p>
            <w:pPr>
              <w:jc w:val="center"/>
              <w:rPr>
                <w:rFonts w:hint="default" w:ascii="Times New Roman" w:hAnsi="Times New Roman" w:cs="Times New Roman"/>
                <w:kern w:val="0"/>
                <w:sz w:val="21"/>
                <w:szCs w:val="21"/>
                <w:lang w:val="en-US"/>
              </w:rPr>
            </w:pPr>
            <w:r>
              <w:rPr>
                <w:rFonts w:hint="eastAsia" w:ascii="Times New Roman" w:hAnsi="Times New Roman" w:eastAsia="宋体" w:cs="Times New Roman"/>
                <w:i w:val="0"/>
                <w:color w:val="auto"/>
                <w:kern w:val="0"/>
                <w:sz w:val="21"/>
                <w:szCs w:val="21"/>
                <w:u w:val="none"/>
                <w:lang w:val="en-US" w:eastAsia="zh-CN" w:bidi="ar"/>
              </w:rPr>
              <w:t>3.81</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9" w:type="dxa"/>
            <w:tcBorders>
              <w:right w:val="single" w:color="auto" w:sz="4" w:space="0"/>
            </w:tcBorders>
            <w:vAlign w:val="center"/>
          </w:tcPr>
          <w:p>
            <w:pPr>
              <w:jc w:val="center"/>
              <w:rPr>
                <w:rFonts w:hint="default" w:ascii="Times New Roman" w:hAnsi="Times New Roman" w:cs="Times New Roman"/>
                <w:kern w:val="0"/>
                <w:sz w:val="21"/>
                <w:szCs w:val="21"/>
                <w:lang w:val="en-US"/>
              </w:rPr>
            </w:pPr>
            <w:r>
              <w:rPr>
                <w:rFonts w:hint="eastAsia" w:ascii="Times New Roman" w:hAnsi="Times New Roman" w:eastAsia="宋体" w:cs="Times New Roman"/>
                <w:i w:val="0"/>
                <w:color w:val="auto"/>
                <w:kern w:val="0"/>
                <w:sz w:val="21"/>
                <w:szCs w:val="21"/>
                <w:u w:val="none"/>
                <w:lang w:val="en-US" w:eastAsia="zh-CN" w:bidi="ar"/>
              </w:rPr>
              <w:t>3.60</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486" w:type="dxa"/>
            <w:tcBorders>
              <w:left w:val="single" w:color="auto" w:sz="4" w:space="0"/>
            </w:tcBorders>
            <w:vAlign w:val="center"/>
          </w:tcPr>
          <w:p>
            <w:pPr>
              <w:jc w:val="center"/>
              <w:rPr>
                <w:rFonts w:hint="default" w:ascii="Times New Roman" w:hAnsi="Times New Roman" w:cs="Times New Roman" w:eastAsiaTheme="minorEastAsia"/>
                <w:b/>
                <w:bCs/>
                <w:kern w:val="0"/>
                <w:sz w:val="21"/>
                <w:szCs w:val="21"/>
                <w:lang w:val="en-US" w:eastAsia="zh-CN"/>
              </w:rPr>
            </w:pPr>
            <w:r>
              <w:rPr>
                <w:rFonts w:hint="eastAsia" w:ascii="Times New Roman" w:hAnsi="Times New Roman" w:eastAsia="宋体" w:cs="Times New Roman"/>
                <w:b/>
                <w:bCs/>
                <w:i w:val="0"/>
                <w:color w:val="auto"/>
                <w:kern w:val="0"/>
                <w:sz w:val="21"/>
                <w:szCs w:val="21"/>
                <w:u w:val="none"/>
                <w:lang w:val="en-US" w:eastAsia="zh-CN" w:bidi="ar"/>
              </w:rPr>
              <w:t>3.58</w:t>
            </w:r>
            <w:r>
              <w:rPr>
                <w:rFonts w:hint="default" w:ascii="Times New Roman" w:hAnsi="Times New Roman" w:eastAsia="宋体" w:cs="Times New Roman"/>
                <w:b/>
                <w:bCs/>
                <w:color w:val="000000"/>
                <w:sz w:val="21"/>
                <w:szCs w:val="21"/>
                <w:lang w:val="en-US" w:eastAsia="zh-CN"/>
              </w:rPr>
              <w:t>×10</w:t>
            </w:r>
            <w:r>
              <w:rPr>
                <w:rFonts w:hint="default" w:ascii="Times New Roman" w:hAnsi="Times New Roman" w:eastAsia="宋体" w:cs="Times New Roman"/>
                <w:b/>
                <w:bCs/>
                <w:color w:val="000000"/>
                <w:sz w:val="21"/>
                <w:szCs w:val="21"/>
                <w:vertAlign w:val="superscript"/>
                <w:lang w:val="en-US" w:eastAsia="zh-CN"/>
              </w:rPr>
              <w:t>-</w:t>
            </w:r>
            <w:r>
              <w:rPr>
                <w:rFonts w:hint="eastAsia" w:ascii="Times New Roman" w:hAnsi="Times New Roman" w:eastAsia="宋体" w:cs="Times New Roman"/>
                <w:b/>
                <w:bCs/>
                <w:color w:val="000000"/>
                <w:sz w:val="21"/>
                <w:szCs w:val="21"/>
                <w:vertAlign w:val="superscript"/>
                <w:lang w:val="en-US" w:eastAsia="zh-CN"/>
              </w:rPr>
              <w:t>2</w:t>
            </w:r>
          </w:p>
        </w:tc>
        <w:tc>
          <w:tcPr>
            <w:tcW w:w="1087" w:type="dxa"/>
            <w:gridSpan w:val="2"/>
            <w:vAlign w:val="center"/>
          </w:tcPr>
          <w:p>
            <w:pPr>
              <w:widowControl/>
              <w:jc w:val="center"/>
              <w:rPr>
                <w:rFonts w:hint="default" w:ascii="Times New Roman" w:hAnsi="Times New Roman" w:cs="Times New Roman" w:eastAsiaTheme="minorEastAsia"/>
                <w:b/>
                <w:bCs/>
                <w:kern w:val="0"/>
                <w:sz w:val="21"/>
                <w:szCs w:val="21"/>
                <w:lang w:val="en-US" w:eastAsia="zh-CN"/>
              </w:rPr>
            </w:pPr>
            <w:r>
              <w:rPr>
                <w:rFonts w:hint="default" w:ascii="Times New Roman" w:hAnsi="Times New Roman" w:cs="Times New Roman"/>
                <w:b/>
                <w:bCs/>
                <w:sz w:val="21"/>
                <w:szCs w:val="21"/>
                <w:lang w:val="en-US" w:eastAsia="zh-CN"/>
              </w:rPr>
              <w:t>/</w:t>
            </w:r>
          </w:p>
        </w:tc>
        <w:tc>
          <w:tcPr>
            <w:tcW w:w="1069" w:type="dxa"/>
            <w:vAlign w:val="center"/>
          </w:tcPr>
          <w:p>
            <w:pPr>
              <w:widowControl/>
              <w:jc w:val="center"/>
              <w:rPr>
                <w:rFonts w:hint="default" w:ascii="Times New Roman" w:hAnsi="Times New Roman" w:cs="Times New Roman"/>
                <w:b/>
                <w:bCs/>
                <w:kern w:val="0"/>
                <w:sz w:val="21"/>
                <w:szCs w:val="21"/>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jc w:val="center"/>
              <w:rPr>
                <w:rFonts w:hint="default" w:ascii="Times New Roman" w:hAnsi="Times New Roman" w:cs="Times New Roman"/>
                <w:kern w:val="0"/>
                <w:sz w:val="21"/>
                <w:szCs w:val="21"/>
                <w:lang w:val="en-US"/>
              </w:rPr>
            </w:pPr>
          </w:p>
        </w:tc>
        <w:tc>
          <w:tcPr>
            <w:tcW w:w="1590" w:type="dxa"/>
            <w:vMerge w:val="restart"/>
            <w:tcBorders>
              <w:top w:val="single" w:color="auto" w:sz="4" w:space="0"/>
            </w:tcBorders>
            <w:vAlign w:val="center"/>
          </w:tcPr>
          <w:p>
            <w:pPr>
              <w:widowControl/>
              <w:jc w:val="center"/>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kern w:val="0"/>
                <w:sz w:val="21"/>
                <w:szCs w:val="21"/>
                <w:lang w:val="en-US" w:eastAsia="zh-CN"/>
              </w:rPr>
              <w:t>静电处理装置出</w:t>
            </w:r>
            <w:r>
              <w:rPr>
                <w:rFonts w:hint="default" w:ascii="Times New Roman" w:hAnsi="Times New Roman" w:cs="Times New Roman"/>
                <w:kern w:val="0"/>
                <w:sz w:val="21"/>
                <w:szCs w:val="21"/>
                <w:lang w:val="en-US" w:eastAsia="zh-CN"/>
              </w:rPr>
              <w:t>口</w:t>
            </w:r>
          </w:p>
        </w:tc>
        <w:tc>
          <w:tcPr>
            <w:tcW w:w="1290" w:type="dxa"/>
            <w:vMerge w:val="restart"/>
            <w:tcBorders>
              <w:top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非甲烷总烃</w:t>
            </w: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排放浓度</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1.94</w:t>
            </w:r>
          </w:p>
        </w:tc>
        <w:tc>
          <w:tcPr>
            <w:tcW w:w="1548" w:type="dxa"/>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1.91</w:t>
            </w:r>
          </w:p>
        </w:tc>
        <w:tc>
          <w:tcPr>
            <w:tcW w:w="1549" w:type="dxa"/>
            <w:tcBorders>
              <w:right w:val="single" w:color="auto" w:sz="4" w:space="0"/>
            </w:tcBorders>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2.29</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2.05</w:t>
            </w:r>
          </w:p>
        </w:tc>
        <w:tc>
          <w:tcPr>
            <w:tcW w:w="1087" w:type="dxa"/>
            <w:gridSpan w:val="2"/>
            <w:vAlign w:val="center"/>
          </w:tcPr>
          <w:p>
            <w:pPr>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120</w:t>
            </w:r>
          </w:p>
        </w:tc>
        <w:tc>
          <w:tcPr>
            <w:tcW w:w="1069" w:type="dxa"/>
            <w:vAlign w:val="center"/>
          </w:tcPr>
          <w:p>
            <w:pPr>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jc w:val="center"/>
              <w:rPr>
                <w:rFonts w:hint="default" w:ascii="Times New Roman" w:hAnsi="Times New Roman" w:cs="Times New Roman"/>
                <w:kern w:val="0"/>
                <w:sz w:val="21"/>
                <w:szCs w:val="21"/>
              </w:rPr>
            </w:pPr>
          </w:p>
        </w:tc>
        <w:tc>
          <w:tcPr>
            <w:tcW w:w="1590" w:type="dxa"/>
            <w:vMerge w:val="continue"/>
            <w:vAlign w:val="center"/>
          </w:tcPr>
          <w:p>
            <w:pPr>
              <w:widowControl/>
              <w:jc w:val="center"/>
              <w:rPr>
                <w:rFonts w:hint="default" w:ascii="Times New Roman" w:hAnsi="Times New Roman" w:cs="Times New Roman"/>
                <w:kern w:val="0"/>
                <w:sz w:val="21"/>
                <w:szCs w:val="21"/>
              </w:rPr>
            </w:pPr>
          </w:p>
        </w:tc>
        <w:tc>
          <w:tcPr>
            <w:tcW w:w="1290" w:type="dxa"/>
            <w:vMerge w:val="continue"/>
            <w:tcBorders>
              <w:right w:val="single" w:color="auto" w:sz="4" w:space="0"/>
            </w:tcBorders>
            <w:vAlign w:val="center"/>
          </w:tcPr>
          <w:p>
            <w:pPr>
              <w:widowControl/>
              <w:jc w:val="center"/>
              <w:rPr>
                <w:rFonts w:hint="default" w:ascii="Times New Roman" w:hAnsi="Times New Roman" w:cs="Times New Roman"/>
                <w:sz w:val="21"/>
                <w:szCs w:val="21"/>
              </w:rPr>
            </w:pP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排放速率</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1.69</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8" w:type="dxa"/>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1.64</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9" w:type="dxa"/>
            <w:tcBorders>
              <w:right w:val="single" w:color="auto" w:sz="4" w:space="0"/>
            </w:tcBorders>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1.99</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eastAsia="宋体" w:cs="Times New Roman"/>
                <w:b/>
                <w:bCs/>
                <w:i w:val="0"/>
                <w:color w:val="auto"/>
                <w:kern w:val="0"/>
                <w:sz w:val="21"/>
                <w:szCs w:val="21"/>
                <w:u w:val="none"/>
                <w:lang w:val="en-US" w:eastAsia="zh-CN" w:bidi="ar"/>
              </w:rPr>
              <w:t>1.77</w:t>
            </w:r>
            <w:r>
              <w:rPr>
                <w:rFonts w:hint="default" w:ascii="Times New Roman" w:hAnsi="Times New Roman" w:eastAsia="宋体" w:cs="Times New Roman"/>
                <w:b/>
                <w:bCs/>
                <w:color w:val="000000"/>
                <w:sz w:val="21"/>
                <w:szCs w:val="21"/>
                <w:lang w:val="en-US" w:eastAsia="zh-CN"/>
              </w:rPr>
              <w:t>×10</w:t>
            </w:r>
            <w:r>
              <w:rPr>
                <w:rFonts w:hint="default" w:ascii="Times New Roman" w:hAnsi="Times New Roman" w:eastAsia="宋体" w:cs="Times New Roman"/>
                <w:b/>
                <w:bCs/>
                <w:color w:val="000000"/>
                <w:sz w:val="21"/>
                <w:szCs w:val="21"/>
                <w:vertAlign w:val="superscript"/>
                <w:lang w:val="en-US" w:eastAsia="zh-CN"/>
              </w:rPr>
              <w:t>-</w:t>
            </w:r>
            <w:r>
              <w:rPr>
                <w:rFonts w:hint="eastAsia" w:ascii="Times New Roman" w:hAnsi="Times New Roman" w:eastAsia="宋体" w:cs="Times New Roman"/>
                <w:b/>
                <w:bCs/>
                <w:color w:val="000000"/>
                <w:sz w:val="21"/>
                <w:szCs w:val="21"/>
                <w:vertAlign w:val="superscript"/>
                <w:lang w:val="en-US" w:eastAsia="zh-CN"/>
              </w:rPr>
              <w:t>2</w:t>
            </w:r>
          </w:p>
        </w:tc>
        <w:tc>
          <w:tcPr>
            <w:tcW w:w="1087" w:type="dxa"/>
            <w:gridSpan w:val="2"/>
            <w:vAlign w:val="center"/>
          </w:tcPr>
          <w:p>
            <w:pPr>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10</w:t>
            </w:r>
          </w:p>
        </w:tc>
        <w:tc>
          <w:tcPr>
            <w:tcW w:w="1069" w:type="dxa"/>
            <w:vAlign w:val="center"/>
          </w:tcPr>
          <w:p>
            <w:pPr>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50.6</w:t>
            </w: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restart"/>
            <w:vAlign w:val="center"/>
          </w:tcPr>
          <w:p>
            <w:pPr>
              <w:jc w:val="center"/>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lang w:val="en-US" w:eastAsia="zh-CN"/>
              </w:rPr>
              <w:t>201</w:t>
            </w:r>
            <w:r>
              <w:rPr>
                <w:rFonts w:hint="eastAsia" w:ascii="Times New Roman" w:hAnsi="Times New Roman" w:cs="Times New Roman"/>
                <w:kern w:val="0"/>
                <w:sz w:val="21"/>
                <w:szCs w:val="21"/>
                <w:lang w:val="en-US" w:eastAsia="zh-CN"/>
              </w:rPr>
              <w:t>8</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11</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30</w:t>
            </w:r>
          </w:p>
        </w:tc>
        <w:tc>
          <w:tcPr>
            <w:tcW w:w="1590" w:type="dxa"/>
            <w:vMerge w:val="restart"/>
            <w:vAlign w:val="center"/>
          </w:tcPr>
          <w:p>
            <w:pPr>
              <w:widowControl/>
              <w:jc w:val="center"/>
              <w:rPr>
                <w:rFonts w:hint="default" w:ascii="Times New Roman" w:hAnsi="Times New Roman" w:cs="Times New Roman"/>
                <w:kern w:val="0"/>
                <w:sz w:val="21"/>
                <w:szCs w:val="21"/>
              </w:rPr>
            </w:pPr>
            <w:r>
              <w:rPr>
                <w:rFonts w:hint="eastAsia" w:ascii="Times New Roman" w:hAnsi="Times New Roman" w:cs="Times New Roman"/>
                <w:kern w:val="0"/>
                <w:sz w:val="21"/>
                <w:szCs w:val="21"/>
                <w:lang w:val="en-US" w:eastAsia="zh-CN"/>
              </w:rPr>
              <w:t>静电处理装置</w:t>
            </w:r>
            <w:r>
              <w:rPr>
                <w:rFonts w:hint="default" w:ascii="Times New Roman" w:hAnsi="Times New Roman" w:cs="Times New Roman"/>
                <w:kern w:val="0"/>
                <w:sz w:val="21"/>
                <w:szCs w:val="21"/>
                <w:lang w:val="en-US" w:eastAsia="zh-CN"/>
              </w:rPr>
              <w:t>进口</w:t>
            </w:r>
          </w:p>
        </w:tc>
        <w:tc>
          <w:tcPr>
            <w:tcW w:w="1290" w:type="dxa"/>
            <w:vMerge w:val="restart"/>
            <w:tcBorders>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非甲烷总烃</w:t>
            </w: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浓度</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4.24</w:t>
            </w:r>
          </w:p>
        </w:tc>
        <w:tc>
          <w:tcPr>
            <w:tcW w:w="154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4.44</w:t>
            </w:r>
          </w:p>
        </w:tc>
        <w:tc>
          <w:tcPr>
            <w:tcW w:w="1549" w:type="dxa"/>
            <w:tcBorders>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4.07</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fldChar w:fldCharType="begin"/>
            </w:r>
            <w:r>
              <w:rPr>
                <w:rFonts w:hint="default" w:ascii="Times New Roman" w:hAnsi="Times New Roman" w:cs="Times New Roman"/>
                <w:b/>
                <w:bCs/>
                <w:sz w:val="21"/>
                <w:szCs w:val="21"/>
                <w:lang w:val="en-US" w:eastAsia="zh-CN"/>
              </w:rPr>
              <w:instrText xml:space="preserve"> = average(E7:G7) \* MERGEFORMAT </w:instrText>
            </w:r>
            <w:r>
              <w:rPr>
                <w:rFonts w:hint="default" w:ascii="Times New Roman" w:hAnsi="Times New Roman" w:cs="Times New Roman"/>
                <w:b/>
                <w:bCs/>
                <w:sz w:val="21"/>
                <w:szCs w:val="21"/>
                <w:lang w:val="en-US" w:eastAsia="zh-CN"/>
              </w:rPr>
              <w:fldChar w:fldCharType="separate"/>
            </w:r>
            <w:r>
              <w:rPr>
                <w:rFonts w:hint="default" w:ascii="Times New Roman" w:hAnsi="Times New Roman" w:cs="Times New Roman"/>
                <w:b/>
                <w:bCs/>
                <w:sz w:val="21"/>
                <w:szCs w:val="21"/>
                <w:lang w:val="en-US" w:eastAsia="zh-CN"/>
              </w:rPr>
              <w:t>4.25</w:t>
            </w:r>
            <w:r>
              <w:rPr>
                <w:rFonts w:hint="default" w:ascii="Times New Roman" w:hAnsi="Times New Roman" w:cs="Times New Roman"/>
                <w:b/>
                <w:bCs/>
                <w:sz w:val="21"/>
                <w:szCs w:val="21"/>
                <w:lang w:val="en-US" w:eastAsia="zh-CN"/>
              </w:rPr>
              <w:fldChar w:fldCharType="end"/>
            </w:r>
          </w:p>
        </w:tc>
        <w:tc>
          <w:tcPr>
            <w:tcW w:w="1087" w:type="dxa"/>
            <w:gridSpan w:val="2"/>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w:t>
            </w:r>
          </w:p>
        </w:tc>
        <w:tc>
          <w:tcPr>
            <w:tcW w:w="1069"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jc w:val="center"/>
              <w:rPr>
                <w:rFonts w:hint="default" w:ascii="Times New Roman" w:hAnsi="Times New Roman" w:cs="Times New Roman"/>
                <w:kern w:val="0"/>
                <w:sz w:val="21"/>
                <w:szCs w:val="21"/>
              </w:rPr>
            </w:pPr>
          </w:p>
        </w:tc>
        <w:tc>
          <w:tcPr>
            <w:tcW w:w="1590" w:type="dxa"/>
            <w:vMerge w:val="continue"/>
            <w:vAlign w:val="center"/>
          </w:tcPr>
          <w:p>
            <w:pPr>
              <w:widowControl/>
              <w:jc w:val="center"/>
              <w:rPr>
                <w:rFonts w:hint="default" w:ascii="Times New Roman" w:hAnsi="Times New Roman" w:cs="Times New Roman"/>
                <w:kern w:val="0"/>
                <w:sz w:val="21"/>
                <w:szCs w:val="21"/>
              </w:rPr>
            </w:pPr>
          </w:p>
        </w:tc>
        <w:tc>
          <w:tcPr>
            <w:tcW w:w="1290" w:type="dxa"/>
            <w:vMerge w:val="continue"/>
            <w:tcBorders>
              <w:right w:val="single" w:color="auto" w:sz="4" w:space="0"/>
            </w:tcBorders>
            <w:vAlign w:val="center"/>
          </w:tcPr>
          <w:p>
            <w:pPr>
              <w:widowControl/>
              <w:jc w:val="center"/>
              <w:rPr>
                <w:rFonts w:hint="default" w:ascii="Times New Roman" w:hAnsi="Times New Roman" w:cs="Times New Roman"/>
                <w:sz w:val="21"/>
                <w:szCs w:val="21"/>
              </w:rPr>
            </w:pP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产生</w:t>
            </w:r>
            <w:r>
              <w:rPr>
                <w:rFonts w:hint="default" w:ascii="Times New Roman" w:hAnsi="Times New Roman" w:cs="Times New Roman"/>
                <w:kern w:val="0"/>
                <w:sz w:val="21"/>
                <w:szCs w:val="21"/>
              </w:rPr>
              <w:t>速率</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3.76</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3.99</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9" w:type="dxa"/>
            <w:tcBorders>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3.57</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eastAsia="宋体" w:cs="Times New Roman"/>
                <w:b/>
                <w:bCs/>
                <w:i w:val="0"/>
                <w:color w:val="auto"/>
                <w:kern w:val="0"/>
                <w:sz w:val="21"/>
                <w:szCs w:val="21"/>
                <w:u w:val="none"/>
                <w:lang w:val="en-US" w:eastAsia="zh-CN" w:bidi="ar"/>
              </w:rPr>
              <w:t>3.77</w:t>
            </w:r>
            <w:r>
              <w:rPr>
                <w:rFonts w:hint="default" w:ascii="Times New Roman" w:hAnsi="Times New Roman" w:eastAsia="宋体" w:cs="Times New Roman"/>
                <w:b/>
                <w:bCs/>
                <w:color w:val="000000"/>
                <w:sz w:val="21"/>
                <w:szCs w:val="21"/>
                <w:lang w:val="en-US" w:eastAsia="zh-CN"/>
              </w:rPr>
              <w:t>×10</w:t>
            </w:r>
            <w:r>
              <w:rPr>
                <w:rFonts w:hint="default" w:ascii="Times New Roman" w:hAnsi="Times New Roman" w:eastAsia="宋体" w:cs="Times New Roman"/>
                <w:b/>
                <w:bCs/>
                <w:color w:val="000000"/>
                <w:sz w:val="21"/>
                <w:szCs w:val="21"/>
                <w:vertAlign w:val="superscript"/>
                <w:lang w:val="en-US" w:eastAsia="zh-CN"/>
              </w:rPr>
              <w:t>-</w:t>
            </w:r>
            <w:r>
              <w:rPr>
                <w:rFonts w:hint="eastAsia" w:ascii="Times New Roman" w:hAnsi="Times New Roman" w:eastAsia="宋体" w:cs="Times New Roman"/>
                <w:b/>
                <w:bCs/>
                <w:color w:val="000000"/>
                <w:sz w:val="21"/>
                <w:szCs w:val="21"/>
                <w:vertAlign w:val="superscript"/>
                <w:lang w:val="en-US" w:eastAsia="zh-CN"/>
              </w:rPr>
              <w:t>2</w:t>
            </w:r>
          </w:p>
        </w:tc>
        <w:tc>
          <w:tcPr>
            <w:tcW w:w="1087" w:type="dxa"/>
            <w:gridSpan w:val="2"/>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w:t>
            </w:r>
          </w:p>
        </w:tc>
        <w:tc>
          <w:tcPr>
            <w:tcW w:w="1069"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jc w:val="center"/>
              <w:rPr>
                <w:rFonts w:hint="default" w:ascii="Times New Roman" w:hAnsi="Times New Roman" w:cs="Times New Roman"/>
                <w:kern w:val="0"/>
                <w:sz w:val="21"/>
                <w:szCs w:val="21"/>
              </w:rPr>
            </w:pPr>
          </w:p>
        </w:tc>
        <w:tc>
          <w:tcPr>
            <w:tcW w:w="1590" w:type="dxa"/>
            <w:vMerge w:val="restart"/>
            <w:vAlign w:val="center"/>
          </w:tcPr>
          <w:p>
            <w:pPr>
              <w:widowControl/>
              <w:jc w:val="center"/>
              <w:rPr>
                <w:rFonts w:hint="default" w:ascii="Times New Roman" w:hAnsi="Times New Roman" w:cs="Times New Roman"/>
                <w:kern w:val="0"/>
                <w:sz w:val="21"/>
                <w:szCs w:val="21"/>
              </w:rPr>
            </w:pPr>
            <w:r>
              <w:rPr>
                <w:rFonts w:hint="eastAsia" w:ascii="Times New Roman" w:hAnsi="Times New Roman" w:cs="Times New Roman"/>
                <w:kern w:val="0"/>
                <w:sz w:val="21"/>
                <w:szCs w:val="21"/>
                <w:lang w:val="en-US" w:eastAsia="zh-CN"/>
              </w:rPr>
              <w:t>静电处理装置出</w:t>
            </w:r>
            <w:r>
              <w:rPr>
                <w:rFonts w:hint="default" w:ascii="Times New Roman" w:hAnsi="Times New Roman" w:cs="Times New Roman"/>
                <w:kern w:val="0"/>
                <w:sz w:val="21"/>
                <w:szCs w:val="21"/>
                <w:lang w:val="en-US" w:eastAsia="zh-CN"/>
              </w:rPr>
              <w:t>口</w:t>
            </w:r>
          </w:p>
        </w:tc>
        <w:tc>
          <w:tcPr>
            <w:tcW w:w="1290" w:type="dxa"/>
            <w:vMerge w:val="restart"/>
            <w:tcBorders>
              <w:right w:val="single" w:color="auto" w:sz="4" w:space="0"/>
            </w:tcBorders>
            <w:vAlign w:val="center"/>
          </w:tcPr>
          <w:p>
            <w:pPr>
              <w:widowControl/>
              <w:jc w:val="center"/>
              <w:rPr>
                <w:rFonts w:hint="default" w:ascii="Times New Roman" w:hAnsi="Times New Roman" w:cs="Times New Roman"/>
                <w:sz w:val="21"/>
                <w:szCs w:val="21"/>
              </w:rPr>
            </w:pPr>
            <w:r>
              <w:rPr>
                <w:rFonts w:hint="eastAsia" w:ascii="Times New Roman" w:hAnsi="Times New Roman" w:cs="Times New Roman"/>
                <w:kern w:val="0"/>
                <w:sz w:val="21"/>
                <w:szCs w:val="21"/>
                <w:lang w:val="en-US" w:eastAsia="zh-CN"/>
              </w:rPr>
              <w:t>非甲烷总烃</w:t>
            </w: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排放浓度</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1.98</w:t>
            </w:r>
          </w:p>
        </w:tc>
        <w:tc>
          <w:tcPr>
            <w:tcW w:w="154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1.97</w:t>
            </w:r>
          </w:p>
        </w:tc>
        <w:tc>
          <w:tcPr>
            <w:tcW w:w="1549" w:type="dxa"/>
            <w:tcBorders>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1.77</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1.91</w:t>
            </w:r>
          </w:p>
        </w:tc>
        <w:tc>
          <w:tcPr>
            <w:tcW w:w="1087" w:type="dxa"/>
            <w:gridSpan w:val="2"/>
            <w:vAlign w:val="center"/>
          </w:tcPr>
          <w:p>
            <w:pPr>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120</w:t>
            </w:r>
          </w:p>
        </w:tc>
        <w:tc>
          <w:tcPr>
            <w:tcW w:w="1069" w:type="dxa"/>
            <w:vAlign w:val="center"/>
          </w:tcPr>
          <w:p>
            <w:pPr>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186" w:type="dxa"/>
            <w:vMerge w:val="continue"/>
            <w:vAlign w:val="center"/>
          </w:tcPr>
          <w:p>
            <w:pPr>
              <w:jc w:val="center"/>
              <w:rPr>
                <w:rFonts w:hint="default" w:ascii="Times New Roman" w:hAnsi="Times New Roman" w:cs="Times New Roman"/>
                <w:kern w:val="0"/>
                <w:sz w:val="21"/>
                <w:szCs w:val="21"/>
              </w:rPr>
            </w:pPr>
          </w:p>
        </w:tc>
        <w:tc>
          <w:tcPr>
            <w:tcW w:w="1590" w:type="dxa"/>
            <w:vMerge w:val="continue"/>
            <w:vAlign w:val="center"/>
          </w:tcPr>
          <w:p>
            <w:pPr>
              <w:widowControl/>
              <w:jc w:val="center"/>
              <w:rPr>
                <w:rFonts w:hint="default" w:ascii="Times New Roman" w:hAnsi="Times New Roman" w:cs="Times New Roman"/>
                <w:kern w:val="0"/>
                <w:sz w:val="21"/>
                <w:szCs w:val="21"/>
              </w:rPr>
            </w:pPr>
          </w:p>
        </w:tc>
        <w:tc>
          <w:tcPr>
            <w:tcW w:w="1290" w:type="dxa"/>
            <w:vMerge w:val="continue"/>
            <w:tcBorders>
              <w:right w:val="single" w:color="auto" w:sz="4" w:space="0"/>
            </w:tcBorders>
            <w:vAlign w:val="center"/>
          </w:tcPr>
          <w:p>
            <w:pPr>
              <w:widowControl/>
              <w:jc w:val="center"/>
              <w:rPr>
                <w:rFonts w:hint="default" w:ascii="Times New Roman" w:hAnsi="Times New Roman" w:cs="Times New Roman"/>
                <w:sz w:val="21"/>
                <w:szCs w:val="21"/>
              </w:rPr>
            </w:pPr>
          </w:p>
        </w:tc>
        <w:tc>
          <w:tcPr>
            <w:tcW w:w="1252"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排放速率</w:t>
            </w:r>
          </w:p>
        </w:tc>
        <w:tc>
          <w:tcPr>
            <w:tcW w:w="1549"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1.73</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1.71</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549" w:type="dxa"/>
            <w:tcBorders>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color w:val="auto"/>
                <w:kern w:val="0"/>
                <w:sz w:val="21"/>
                <w:szCs w:val="21"/>
                <w:u w:val="none"/>
                <w:lang w:val="en-US" w:eastAsia="zh-CN" w:bidi="ar"/>
              </w:rPr>
              <w:t>1.56</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color w:val="000000"/>
                <w:sz w:val="21"/>
                <w:szCs w:val="21"/>
                <w:vertAlign w:val="superscript"/>
                <w:lang w:val="en-US" w:eastAsia="zh-CN"/>
              </w:rPr>
              <w:t>-</w:t>
            </w:r>
            <w:r>
              <w:rPr>
                <w:rFonts w:hint="eastAsia" w:ascii="Times New Roman" w:hAnsi="Times New Roman" w:eastAsia="宋体" w:cs="Times New Roman"/>
                <w:color w:val="000000"/>
                <w:sz w:val="21"/>
                <w:szCs w:val="21"/>
                <w:vertAlign w:val="superscript"/>
                <w:lang w:val="en-US" w:eastAsia="zh-CN"/>
              </w:rPr>
              <w:t>2</w:t>
            </w:r>
          </w:p>
        </w:tc>
        <w:tc>
          <w:tcPr>
            <w:tcW w:w="1486" w:type="dxa"/>
            <w:tcBorders>
              <w:left w:val="single" w:color="auto" w:sz="4"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eastAsia="宋体" w:cs="Times New Roman"/>
                <w:b/>
                <w:bCs/>
                <w:i w:val="0"/>
                <w:color w:val="auto"/>
                <w:kern w:val="0"/>
                <w:sz w:val="21"/>
                <w:szCs w:val="21"/>
                <w:u w:val="none"/>
                <w:lang w:val="en-US" w:eastAsia="zh-CN" w:bidi="ar"/>
              </w:rPr>
              <w:t>1.67</w:t>
            </w:r>
            <w:r>
              <w:rPr>
                <w:rFonts w:hint="default" w:ascii="Times New Roman" w:hAnsi="Times New Roman" w:eastAsia="宋体" w:cs="Times New Roman"/>
                <w:b/>
                <w:bCs/>
                <w:color w:val="000000"/>
                <w:sz w:val="21"/>
                <w:szCs w:val="21"/>
                <w:lang w:val="en-US" w:eastAsia="zh-CN"/>
              </w:rPr>
              <w:t>×10</w:t>
            </w:r>
            <w:r>
              <w:rPr>
                <w:rFonts w:hint="default" w:ascii="Times New Roman" w:hAnsi="Times New Roman" w:eastAsia="宋体" w:cs="Times New Roman"/>
                <w:b/>
                <w:bCs/>
                <w:color w:val="000000"/>
                <w:sz w:val="21"/>
                <w:szCs w:val="21"/>
                <w:vertAlign w:val="superscript"/>
                <w:lang w:val="en-US" w:eastAsia="zh-CN"/>
              </w:rPr>
              <w:t>-</w:t>
            </w:r>
            <w:r>
              <w:rPr>
                <w:rFonts w:hint="eastAsia" w:ascii="Times New Roman" w:hAnsi="Times New Roman" w:eastAsia="宋体" w:cs="Times New Roman"/>
                <w:b/>
                <w:bCs/>
                <w:color w:val="000000"/>
                <w:sz w:val="21"/>
                <w:szCs w:val="21"/>
                <w:vertAlign w:val="superscript"/>
                <w:lang w:val="en-US" w:eastAsia="zh-CN"/>
              </w:rPr>
              <w:t>2</w:t>
            </w:r>
          </w:p>
        </w:tc>
        <w:tc>
          <w:tcPr>
            <w:tcW w:w="1087" w:type="dxa"/>
            <w:gridSpan w:val="2"/>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10</w:t>
            </w:r>
          </w:p>
        </w:tc>
        <w:tc>
          <w:tcPr>
            <w:tcW w:w="1069" w:type="dxa"/>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55.7</w:t>
            </w:r>
            <w:r>
              <w:rPr>
                <w:rFonts w:hint="default" w:ascii="Times New Roman" w:hAnsi="Times New Roman" w:cs="Times New Roman"/>
                <w:b/>
                <w:bCs/>
                <w:sz w:val="21"/>
                <w:szCs w:val="21"/>
                <w:lang w:val="en-US" w:eastAsia="zh-CN"/>
              </w:rPr>
              <w:t>%</w:t>
            </w:r>
          </w:p>
        </w:tc>
      </w:tr>
    </w:tbl>
    <w:p>
      <w:pPr>
        <w:spacing w:line="360" w:lineRule="auto"/>
        <w:rPr>
          <w:rFonts w:hint="default" w:ascii="Times New Roman" w:hAnsi="Times New Roman" w:cs="Times New Roman"/>
          <w:sz w:val="24"/>
          <w:szCs w:val="24"/>
          <w:lang w:val="en-US" w:eastAsia="zh-CN"/>
        </w:rPr>
      </w:pPr>
    </w:p>
    <w:p>
      <w:pPr>
        <w:numPr>
          <w:ilvl w:val="0"/>
          <w:numId w:val="0"/>
        </w:numPr>
        <w:spacing w:line="360" w:lineRule="auto"/>
        <w:ind w:firstLine="480" w:firstLineChars="200"/>
        <w:rPr>
          <w:rFonts w:hint="default" w:ascii="Times New Roman" w:hAnsi="Times New Roman" w:cs="Times New Roman"/>
          <w:sz w:val="24"/>
          <w:szCs w:val="24"/>
          <w:lang w:val="en-US" w:eastAsia="zh-CN"/>
        </w:rPr>
      </w:pPr>
    </w:p>
    <w:p>
      <w:pPr>
        <w:numPr>
          <w:ilvl w:val="0"/>
          <w:numId w:val="0"/>
        </w:numPr>
        <w:spacing w:line="360" w:lineRule="auto"/>
        <w:ind w:firstLine="480" w:firstLineChars="200"/>
        <w:rPr>
          <w:rFonts w:hint="eastAsia" w:ascii="Times New Roman" w:hAnsi="Times New Roman" w:cs="Times New Roman"/>
          <w:sz w:val="24"/>
          <w:szCs w:val="24"/>
          <w:lang w:val="en-US" w:eastAsia="zh-CN"/>
        </w:rPr>
      </w:pPr>
    </w:p>
    <w:p>
      <w:pPr>
        <w:numPr>
          <w:ilvl w:val="0"/>
          <w:numId w:val="0"/>
        </w:numPr>
        <w:spacing w:line="360" w:lineRule="auto"/>
        <w:ind w:firstLine="480" w:firstLineChars="200"/>
        <w:rPr>
          <w:rFonts w:hint="eastAsia" w:ascii="Times New Roman" w:hAnsi="Times New Roman" w:cs="Times New Roman"/>
          <w:sz w:val="24"/>
          <w:szCs w:val="24"/>
          <w:lang w:val="en-US" w:eastAsia="zh-CN"/>
        </w:rPr>
      </w:pPr>
    </w:p>
    <w:p>
      <w:pPr>
        <w:numPr>
          <w:ilvl w:val="0"/>
          <w:numId w:val="0"/>
        </w:numPr>
        <w:spacing w:line="360" w:lineRule="auto"/>
        <w:ind w:firstLine="480" w:firstLineChars="200"/>
        <w:rPr>
          <w:rFonts w:hint="eastAsia" w:ascii="Times New Roman" w:hAnsi="Times New Roman" w:cs="Times New Roman"/>
          <w:sz w:val="24"/>
          <w:szCs w:val="24"/>
          <w:lang w:val="en-US" w:eastAsia="zh-CN"/>
        </w:rPr>
      </w:pPr>
    </w:p>
    <w:p>
      <w:pPr>
        <w:numPr>
          <w:ilvl w:val="0"/>
          <w:numId w:val="0"/>
        </w:numPr>
        <w:spacing w:line="360" w:lineRule="auto"/>
        <w:ind w:firstLine="480" w:firstLineChars="200"/>
        <w:rPr>
          <w:rFonts w:hint="eastAsia" w:ascii="Times New Roman" w:hAnsi="Times New Roman" w:cs="Times New Roman"/>
          <w:sz w:val="24"/>
          <w:szCs w:val="24"/>
          <w:lang w:val="en-US" w:eastAsia="zh-CN"/>
        </w:rPr>
      </w:pPr>
    </w:p>
    <w:p>
      <w:pPr>
        <w:numPr>
          <w:ilvl w:val="0"/>
          <w:numId w:val="0"/>
        </w:numPr>
        <w:spacing w:line="360" w:lineRule="auto"/>
        <w:ind w:firstLine="480" w:firstLineChars="200"/>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rPr>
        <w:sectPr>
          <w:headerReference r:id="rId8"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numPr>
          <w:ilvl w:val="0"/>
          <w:numId w:val="0"/>
        </w:numPr>
        <w:spacing w:line="360" w:lineRule="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9.2.2.2无组织排放</w:t>
      </w:r>
    </w:p>
    <w:p>
      <w:pPr>
        <w:numPr>
          <w:ilvl w:val="0"/>
          <w:numId w:val="0"/>
        </w:numPr>
        <w:spacing w:line="360" w:lineRule="auto"/>
        <w:ind w:firstLine="480" w:firstLineChars="200"/>
        <w:rPr>
          <w:rFonts w:hint="eastAsia" w:ascii="Times New Roman" w:hAnsi="Times New Roman" w:cs="Times New Roman"/>
          <w:b w:val="0"/>
          <w:bCs w:val="0"/>
          <w:kern w:val="0"/>
          <w:vertAlign w:val="superscript"/>
          <w:lang w:eastAsia="zh-CN"/>
        </w:rPr>
      </w:pPr>
      <w:r>
        <w:rPr>
          <w:rFonts w:hint="default" w:ascii="Times New Roman" w:hAnsi="Times New Roman" w:cs="Times New Roman"/>
          <w:b w:val="0"/>
          <w:bCs w:val="0"/>
          <w:sz w:val="24"/>
          <w:szCs w:val="24"/>
          <w:lang w:val="en-US" w:eastAsia="zh-CN"/>
        </w:rPr>
        <w:t>嘉兴威正检测服务有限公司于201</w:t>
      </w:r>
      <w:r>
        <w:rPr>
          <w:rFonts w:hint="eastAsia"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lang w:val="en-US" w:eastAsia="zh-CN"/>
        </w:rPr>
        <w:t>年</w:t>
      </w:r>
      <w:r>
        <w:rPr>
          <w:rFonts w:hint="eastAsia" w:ascii="Times New Roman" w:hAnsi="Times New Roman" w:cs="Times New Roman"/>
          <w:b w:val="0"/>
          <w:bCs w:val="0"/>
          <w:sz w:val="24"/>
          <w:szCs w:val="24"/>
          <w:lang w:val="en-US" w:eastAsia="zh-CN"/>
        </w:rPr>
        <w:t>11</w:t>
      </w:r>
      <w:r>
        <w:rPr>
          <w:rFonts w:hint="default" w:ascii="Times New Roman" w:hAnsi="Times New Roman" w:cs="Times New Roman"/>
          <w:b w:val="0"/>
          <w:bCs w:val="0"/>
          <w:sz w:val="24"/>
          <w:szCs w:val="24"/>
          <w:lang w:val="en-US" w:eastAsia="zh-CN"/>
        </w:rPr>
        <w:t>月</w:t>
      </w:r>
      <w:r>
        <w:rPr>
          <w:rFonts w:hint="eastAsia" w:ascii="Times New Roman" w:hAnsi="Times New Roman" w:cs="Times New Roman"/>
          <w:b w:val="0"/>
          <w:bCs w:val="0"/>
          <w:sz w:val="24"/>
          <w:szCs w:val="24"/>
          <w:lang w:val="en-US" w:eastAsia="zh-CN"/>
        </w:rPr>
        <w:t>29</w:t>
      </w:r>
      <w:r>
        <w:rPr>
          <w:rFonts w:hint="default" w:ascii="Times New Roman" w:hAnsi="Times New Roman" w:cs="Times New Roman"/>
          <w:b w:val="0"/>
          <w:bCs w:val="0"/>
          <w:sz w:val="24"/>
          <w:szCs w:val="24"/>
          <w:lang w:val="en-US" w:eastAsia="zh-CN"/>
        </w:rPr>
        <w:t>日</w:t>
      </w:r>
      <w:r>
        <w:rPr>
          <w:rFonts w:hint="eastAsia" w:ascii="Times New Roman" w:hAnsi="Times New Roman" w:cs="Times New Roman"/>
          <w:b w:val="0"/>
          <w:bCs w:val="0"/>
          <w:sz w:val="24"/>
          <w:szCs w:val="24"/>
          <w:lang w:val="en-US" w:eastAsia="zh-CN"/>
        </w:rPr>
        <w:t>、11月30</w:t>
      </w:r>
      <w:r>
        <w:rPr>
          <w:rFonts w:hint="default" w:ascii="Times New Roman" w:hAnsi="Times New Roman" w:cs="Times New Roman"/>
          <w:b w:val="0"/>
          <w:bCs w:val="0"/>
          <w:sz w:val="24"/>
          <w:szCs w:val="24"/>
          <w:lang w:val="en-US" w:eastAsia="zh-CN"/>
        </w:rPr>
        <w:t>日对</w:t>
      </w:r>
      <w:r>
        <w:rPr>
          <w:rFonts w:hint="eastAsia" w:ascii="Times New Roman" w:hAnsi="Times New Roman" w:cs="Times New Roman"/>
          <w:b w:val="0"/>
          <w:bCs w:val="0"/>
          <w:sz w:val="24"/>
          <w:szCs w:val="24"/>
          <w:lang w:val="en-US" w:eastAsia="zh-CN"/>
        </w:rPr>
        <w:t>浙江德沃轴承有限公司</w:t>
      </w:r>
      <w:r>
        <w:rPr>
          <w:rFonts w:hint="default" w:ascii="Times New Roman" w:hAnsi="Times New Roman" w:cs="Times New Roman"/>
          <w:b w:val="0"/>
          <w:bCs w:val="0"/>
          <w:sz w:val="24"/>
          <w:szCs w:val="24"/>
          <w:lang w:val="en-US" w:eastAsia="zh-CN"/>
        </w:rPr>
        <w:t>废气的无组织排放进行了现场监测。</w:t>
      </w:r>
      <w:r>
        <w:rPr>
          <w:rFonts w:hint="eastAsia" w:ascii="Times New Roman" w:hAnsi="Times New Roman" w:cs="Times New Roman"/>
          <w:b w:val="0"/>
          <w:bCs w:val="0"/>
          <w:sz w:val="24"/>
          <w:szCs w:val="24"/>
          <w:lang w:val="en-US" w:eastAsia="zh-CN"/>
        </w:rPr>
        <w:t>非甲烷总烃</w:t>
      </w:r>
      <w:r>
        <w:rPr>
          <w:rFonts w:hint="default" w:ascii="Times New Roman" w:hAnsi="Times New Roman" w:cs="Times New Roman"/>
          <w:b w:val="0"/>
          <w:bCs w:val="0"/>
          <w:sz w:val="24"/>
          <w:szCs w:val="24"/>
          <w:lang w:val="en-US" w:eastAsia="zh-CN"/>
        </w:rPr>
        <w:t>的无组织排放监控浓度值（周界外浓度最高点）为</w:t>
      </w:r>
      <w:r>
        <w:rPr>
          <w:rFonts w:hint="eastAsia" w:ascii="Times New Roman" w:hAnsi="Times New Roman" w:eastAsia="宋体" w:cs="Times New Roman"/>
          <w:color w:val="auto"/>
          <w:kern w:val="0"/>
          <w:sz w:val="24"/>
          <w:szCs w:val="24"/>
          <w:lang w:val="en-US" w:eastAsia="zh-CN"/>
        </w:rPr>
        <w:t>1.23</w:t>
      </w:r>
      <w:r>
        <w:rPr>
          <w:rFonts w:hint="default" w:ascii="Times New Roman" w:hAnsi="Times New Roman" w:cs="Times New Roman"/>
          <w:b w:val="0"/>
          <w:bCs w:val="0"/>
          <w:kern w:val="0"/>
        </w:rPr>
        <w:t>mg/m</w:t>
      </w:r>
      <w:r>
        <w:rPr>
          <w:rFonts w:hint="default" w:ascii="Times New Roman" w:hAnsi="Times New Roman" w:cs="Times New Roman"/>
          <w:b w:val="0"/>
          <w:bCs w:val="0"/>
          <w:kern w:val="0"/>
          <w:vertAlign w:val="superscript"/>
        </w:rPr>
        <w:t>3</w:t>
      </w:r>
      <w:r>
        <w:rPr>
          <w:rFonts w:hint="eastAsia" w:ascii="Times New Roman" w:hAnsi="Times New Roman" w:cs="Times New Roman" w:eastAsiaTheme="minorEastAsia"/>
          <w:b w:val="0"/>
          <w:bCs w:val="0"/>
          <w:kern w:val="0"/>
          <w:vertAlign w:val="baseline"/>
          <w:lang w:eastAsia="zh-CN"/>
        </w:rPr>
        <w:t>。</w:t>
      </w:r>
    </w:p>
    <w:p>
      <w:pPr>
        <w:numPr>
          <w:ilvl w:val="0"/>
          <w:numId w:val="0"/>
        </w:numPr>
        <w:spacing w:line="360" w:lineRule="auto"/>
        <w:ind w:firstLine="480" w:firstLineChars="200"/>
        <w:rPr>
          <w:rFonts w:hint="default" w:ascii="Times New Roman" w:hAnsi="Times New Roman" w:cs="Times New Roman"/>
          <w:b w:val="0"/>
          <w:bCs w:val="0"/>
          <w:sz w:val="24"/>
          <w:szCs w:val="24"/>
          <w:lang w:val="en-US" w:eastAsia="zh-CN"/>
        </w:rPr>
      </w:pPr>
      <w:r>
        <w:rPr>
          <w:rFonts w:hint="default" w:ascii="Times New Roman" w:hAnsi="Times New Roman" w:cs="Times New Roman"/>
          <w:color w:val="auto"/>
          <w:sz w:val="24"/>
          <w:szCs w:val="24"/>
        </w:rPr>
        <w:t>监测结果表明</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非甲烷总烃的</w:t>
      </w:r>
      <w:r>
        <w:rPr>
          <w:rFonts w:hint="default" w:ascii="Times New Roman" w:hAnsi="Times New Roman" w:cs="Times New Roman"/>
          <w:color w:val="auto"/>
          <w:sz w:val="24"/>
          <w:szCs w:val="24"/>
          <w:lang w:val="en-US" w:eastAsia="zh-CN"/>
        </w:rPr>
        <w:t>无组织排放监控浓度值（周界外浓度最高点）</w:t>
      </w:r>
      <w:r>
        <w:rPr>
          <w:rFonts w:hint="default" w:ascii="Times New Roman" w:hAnsi="Times New Roman" w:cs="Times New Roman"/>
          <w:color w:val="auto"/>
          <w:sz w:val="24"/>
          <w:szCs w:val="24"/>
        </w:rPr>
        <w:t>低于《</w:t>
      </w:r>
      <w:r>
        <w:rPr>
          <w:rFonts w:hint="default" w:ascii="Times New Roman" w:hAnsi="Times New Roman" w:cs="Times New Roman"/>
          <w:sz w:val="24"/>
          <w:szCs w:val="24"/>
        </w:rPr>
        <w:t>大气污染物综合排放标准》（GB16297-1996）</w:t>
      </w:r>
      <w:r>
        <w:rPr>
          <w:rFonts w:hint="default" w:ascii="Times New Roman" w:hAnsi="Times New Roman" w:cs="Times New Roman"/>
          <w:color w:val="auto"/>
          <w:sz w:val="24"/>
          <w:szCs w:val="24"/>
        </w:rPr>
        <w:t>表2中的</w:t>
      </w:r>
      <w:r>
        <w:rPr>
          <w:rFonts w:hint="default" w:ascii="Times New Roman" w:hAnsi="Times New Roman" w:cs="Times New Roman"/>
          <w:color w:val="auto"/>
          <w:sz w:val="24"/>
          <w:szCs w:val="24"/>
          <w:lang w:val="en-US" w:eastAsia="zh-CN"/>
        </w:rPr>
        <w:t>无组织排放浓度监控限值。</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本项目无组织废气排放监测结果见表9-</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，监测期间气象参数见表9-</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sz w:val="24"/>
          <w:szCs w:val="24"/>
        </w:rPr>
      </w:pPr>
      <w:r>
        <w:rPr>
          <w:rFonts w:hint="default" w:ascii="Times New Roman" w:hAnsi="Times New Roman" w:cs="Times New Roman"/>
          <w:b/>
          <w:bCs/>
        </w:rPr>
        <w:t>表9-</w:t>
      </w:r>
      <w:r>
        <w:rPr>
          <w:rFonts w:hint="eastAsia" w:ascii="Times New Roman" w:hAnsi="Times New Roman" w:cs="Times New Roman"/>
          <w:b/>
          <w:bCs/>
          <w:lang w:val="en-US" w:eastAsia="zh-CN"/>
        </w:rPr>
        <w:t>4</w:t>
      </w:r>
      <w:r>
        <w:rPr>
          <w:rFonts w:hint="default" w:ascii="Times New Roman" w:hAnsi="Times New Roman" w:cs="Times New Roman"/>
          <w:b/>
          <w:bCs/>
        </w:rPr>
        <w:t xml:space="preserve">  </w:t>
      </w:r>
      <w:r>
        <w:rPr>
          <w:rFonts w:hint="default" w:ascii="Times New Roman" w:hAnsi="Times New Roman" w:cs="Times New Roman"/>
          <w:b/>
          <w:bCs/>
          <w:lang w:val="en-US" w:eastAsia="zh-CN"/>
        </w:rPr>
        <w:t>无组织</w:t>
      </w:r>
      <w:r>
        <w:rPr>
          <w:rFonts w:hint="default" w:ascii="Times New Roman" w:hAnsi="Times New Roman" w:cs="Times New Roman"/>
          <w:b/>
          <w:bCs/>
        </w:rPr>
        <w:t>监测结果（单位：浓度</w:t>
      </w:r>
      <w:r>
        <w:rPr>
          <w:rFonts w:hint="default" w:ascii="Times New Roman" w:hAnsi="Times New Roman" w:cs="Times New Roman"/>
          <w:b/>
          <w:bCs/>
          <w:kern w:val="0"/>
        </w:rPr>
        <w:t>为mg/m</w:t>
      </w:r>
      <w:r>
        <w:rPr>
          <w:rFonts w:hint="default" w:ascii="Times New Roman" w:hAnsi="Times New Roman" w:cs="Times New Roman"/>
          <w:b/>
          <w:bCs/>
          <w:kern w:val="0"/>
          <w:vertAlign w:val="superscript"/>
        </w:rPr>
        <w:t>3</w:t>
      </w:r>
      <w:r>
        <w:rPr>
          <w:rFonts w:hint="default" w:ascii="Times New Roman" w:hAnsi="Times New Roman" w:cs="Times New Roman"/>
          <w:b/>
          <w:bCs/>
        </w:rPr>
        <w:t>）</w:t>
      </w:r>
    </w:p>
    <w:tbl>
      <w:tblPr>
        <w:tblStyle w:val="16"/>
        <w:tblW w:w="890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4"/>
        <w:gridCol w:w="840"/>
        <w:gridCol w:w="1372"/>
        <w:gridCol w:w="1200"/>
        <w:gridCol w:w="1154"/>
        <w:gridCol w:w="1201"/>
        <w:gridCol w:w="1170"/>
        <w:gridCol w:w="7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监测日期</w:t>
            </w:r>
          </w:p>
        </w:tc>
        <w:tc>
          <w:tcPr>
            <w:tcW w:w="840"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w:t>
            </w:r>
          </w:p>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频次</w:t>
            </w:r>
          </w:p>
        </w:tc>
        <w:tc>
          <w:tcPr>
            <w:tcW w:w="1372" w:type="dxa"/>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监测因子</w:t>
            </w:r>
          </w:p>
        </w:tc>
        <w:tc>
          <w:tcPr>
            <w:tcW w:w="4725" w:type="dxa"/>
            <w:gridSpan w:val="4"/>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监测结果</w:t>
            </w:r>
          </w:p>
        </w:tc>
        <w:tc>
          <w:tcPr>
            <w:tcW w:w="760" w:type="dxa"/>
            <w:vMerge w:val="restart"/>
            <w:vAlign w:val="center"/>
          </w:tcPr>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执行</w:t>
            </w:r>
          </w:p>
          <w:p>
            <w:pPr>
              <w:widowControl/>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rPr>
            </w:pPr>
          </w:p>
        </w:tc>
        <w:tc>
          <w:tcPr>
            <w:tcW w:w="840" w:type="dxa"/>
            <w:vMerge w:val="continue"/>
            <w:vAlign w:val="center"/>
          </w:tcPr>
          <w:p>
            <w:pPr>
              <w:widowControl/>
              <w:jc w:val="center"/>
              <w:rPr>
                <w:rFonts w:hint="default" w:ascii="Times New Roman" w:hAnsi="Times New Roman" w:cs="Times New Roman"/>
                <w:kern w:val="0"/>
                <w:sz w:val="21"/>
                <w:szCs w:val="21"/>
              </w:rPr>
            </w:pPr>
          </w:p>
        </w:tc>
        <w:tc>
          <w:tcPr>
            <w:tcW w:w="1372" w:type="dxa"/>
            <w:vMerge w:val="continue"/>
            <w:vAlign w:val="center"/>
          </w:tcPr>
          <w:p>
            <w:pPr>
              <w:widowControl/>
              <w:jc w:val="center"/>
              <w:rPr>
                <w:rFonts w:hint="default" w:ascii="Times New Roman" w:hAnsi="Times New Roman" w:cs="Times New Roman"/>
                <w:kern w:val="0"/>
                <w:sz w:val="21"/>
                <w:szCs w:val="21"/>
              </w:rPr>
            </w:pPr>
          </w:p>
        </w:tc>
        <w:tc>
          <w:tcPr>
            <w:tcW w:w="1200"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厂界东</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1#</w:t>
            </w:r>
          </w:p>
        </w:tc>
        <w:tc>
          <w:tcPr>
            <w:tcW w:w="1154"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厂界南</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2#</w:t>
            </w:r>
          </w:p>
        </w:tc>
        <w:tc>
          <w:tcPr>
            <w:tcW w:w="1201"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厂界西</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3#</w:t>
            </w:r>
          </w:p>
        </w:tc>
        <w:tc>
          <w:tcPr>
            <w:tcW w:w="1170" w:type="dxa"/>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厂界北</w:t>
            </w:r>
          </w:p>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4#</w:t>
            </w:r>
          </w:p>
        </w:tc>
        <w:tc>
          <w:tcPr>
            <w:tcW w:w="760" w:type="dxa"/>
            <w:vMerge w:val="continue"/>
            <w:vAlign w:val="center"/>
          </w:tcPr>
          <w:p>
            <w:pPr>
              <w:widowControl/>
              <w:jc w:val="center"/>
              <w:rPr>
                <w:rFonts w:hint="default" w:ascii="Times New Roman" w:hAnsi="Times New Roman"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restart"/>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2018.11.29</w:t>
            </w:r>
          </w:p>
        </w:tc>
        <w:tc>
          <w:tcPr>
            <w:tcW w:w="840"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第1次</w:t>
            </w:r>
          </w:p>
        </w:tc>
        <w:tc>
          <w:tcPr>
            <w:tcW w:w="1372"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auto"/>
                <w:kern w:val="0"/>
                <w:sz w:val="21"/>
                <w:szCs w:val="21"/>
                <w:lang w:val="en-US" w:eastAsia="zh-CN"/>
              </w:rPr>
              <w:t>0.86</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0.75</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0.81</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1.15</w:t>
            </w:r>
          </w:p>
        </w:tc>
        <w:tc>
          <w:tcPr>
            <w:tcW w:w="760" w:type="dxa"/>
            <w:vAlign w:val="center"/>
          </w:tcPr>
          <w:p>
            <w:pPr>
              <w:widowControl/>
              <w:jc w:val="center"/>
              <w:rPr>
                <w:rFonts w:hint="default" w:ascii="Times New Roman" w:hAnsi="Times New Roman" w:cs="Times New Roman" w:eastAsiaTheme="minorEastAsia"/>
                <w:b/>
                <w:kern w:val="0"/>
                <w:sz w:val="21"/>
                <w:szCs w:val="21"/>
                <w:lang w:val="en-US" w:eastAsia="zh-CN"/>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rPr>
            </w:pPr>
          </w:p>
        </w:tc>
        <w:tc>
          <w:tcPr>
            <w:tcW w:w="840" w:type="dxa"/>
            <w:vAlign w:val="center"/>
          </w:tcPr>
          <w:p>
            <w:pPr>
              <w:widowControl/>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kern w:val="0"/>
                <w:sz w:val="21"/>
                <w:szCs w:val="21"/>
                <w:lang w:val="en-US" w:eastAsia="zh-CN"/>
              </w:rPr>
              <w:t>第2次</w:t>
            </w:r>
          </w:p>
        </w:tc>
        <w:tc>
          <w:tcPr>
            <w:tcW w:w="1372" w:type="dxa"/>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0.80</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0.91</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0.75</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1.11</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rPr>
            </w:pP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第3次</w:t>
            </w:r>
          </w:p>
        </w:tc>
        <w:tc>
          <w:tcPr>
            <w:tcW w:w="1372" w:type="dxa"/>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0.96</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0.73</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1.28</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1.17</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rPr>
            </w:pP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第4次</w:t>
            </w:r>
          </w:p>
        </w:tc>
        <w:tc>
          <w:tcPr>
            <w:tcW w:w="1372" w:type="dxa"/>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0.82</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lang w:val="en-US" w:eastAsia="zh-CN"/>
              </w:rPr>
              <w:t>0.77</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1.21</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auto"/>
                <w:kern w:val="0"/>
                <w:sz w:val="21"/>
                <w:szCs w:val="21"/>
                <w:u w:val="none"/>
                <w:lang w:val="en-US" w:eastAsia="zh-CN" w:bidi="ar"/>
              </w:rPr>
              <w:t>1.23</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restart"/>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2018.11.30</w:t>
            </w: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第1次</w:t>
            </w:r>
          </w:p>
        </w:tc>
        <w:tc>
          <w:tcPr>
            <w:tcW w:w="1372" w:type="dxa"/>
            <w:vAlign w:val="center"/>
          </w:tcPr>
          <w:p>
            <w:pPr>
              <w:widowControl/>
              <w:jc w:val="center"/>
              <w:rPr>
                <w:rFonts w:hint="default" w:ascii="Times New Roman" w:hAnsi="Times New Roman" w:cs="Times New Roman"/>
                <w:sz w:val="21"/>
                <w:szCs w:val="21"/>
                <w:lang w:val="en-US" w:eastAsia="zh-CN"/>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1.21</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0.98</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1.05</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1.10</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第2次</w:t>
            </w:r>
          </w:p>
        </w:tc>
        <w:tc>
          <w:tcPr>
            <w:tcW w:w="1372" w:type="dxa"/>
            <w:vAlign w:val="center"/>
          </w:tcPr>
          <w:p>
            <w:pPr>
              <w:widowControl/>
              <w:jc w:val="center"/>
              <w:rPr>
                <w:rFonts w:hint="default" w:ascii="Times New Roman" w:hAnsi="Times New Roman" w:cs="Times New Roman"/>
                <w:sz w:val="21"/>
                <w:szCs w:val="21"/>
                <w:lang w:val="en-US" w:eastAsia="zh-CN"/>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1.08</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1.09</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1.15</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1.02</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第3次</w:t>
            </w:r>
          </w:p>
        </w:tc>
        <w:tc>
          <w:tcPr>
            <w:tcW w:w="1372" w:type="dxa"/>
            <w:vAlign w:val="center"/>
          </w:tcPr>
          <w:p>
            <w:pPr>
              <w:widowControl/>
              <w:jc w:val="center"/>
              <w:rPr>
                <w:rFonts w:hint="default" w:ascii="Times New Roman" w:hAnsi="Times New Roman" w:cs="Times New Roman"/>
                <w:sz w:val="21"/>
                <w:szCs w:val="21"/>
                <w:lang w:val="en-US" w:eastAsia="zh-CN"/>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0.85</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1.01</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1.09</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1.04</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04" w:type="dxa"/>
            <w:vMerge w:val="continue"/>
            <w:vAlign w:val="center"/>
          </w:tcPr>
          <w:p>
            <w:pPr>
              <w:widowControl/>
              <w:jc w:val="center"/>
              <w:rPr>
                <w:rFonts w:hint="default" w:ascii="Times New Roman" w:hAnsi="Times New Roman" w:cs="Times New Roman"/>
                <w:kern w:val="0"/>
                <w:sz w:val="21"/>
                <w:szCs w:val="21"/>
                <w:lang w:val="en-US" w:eastAsia="zh-CN"/>
              </w:rPr>
            </w:pPr>
          </w:p>
        </w:tc>
        <w:tc>
          <w:tcPr>
            <w:tcW w:w="840" w:type="dxa"/>
            <w:vAlign w:val="center"/>
          </w:tcPr>
          <w:p>
            <w:pPr>
              <w:widowControl/>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第4次</w:t>
            </w:r>
          </w:p>
        </w:tc>
        <w:tc>
          <w:tcPr>
            <w:tcW w:w="1372" w:type="dxa"/>
            <w:vAlign w:val="center"/>
          </w:tcPr>
          <w:p>
            <w:pPr>
              <w:widowControl/>
              <w:jc w:val="center"/>
              <w:rPr>
                <w:rFonts w:hint="default" w:ascii="Times New Roman" w:hAnsi="Times New Roman" w:cs="Times New Roman"/>
                <w:sz w:val="21"/>
                <w:szCs w:val="21"/>
                <w:lang w:val="en-US" w:eastAsia="zh-CN"/>
              </w:rPr>
            </w:pPr>
            <w:r>
              <w:rPr>
                <w:rFonts w:hint="default" w:ascii="Times New Roman" w:hAnsi="Times New Roman" w:cs="Times New Roman"/>
                <w:kern w:val="0"/>
                <w:sz w:val="21"/>
                <w:szCs w:val="21"/>
                <w:lang w:val="en-US" w:eastAsia="zh-CN"/>
              </w:rPr>
              <w:t>非甲烷总烃</w:t>
            </w:r>
          </w:p>
        </w:tc>
        <w:tc>
          <w:tcPr>
            <w:tcW w:w="120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1.09</w:t>
            </w:r>
          </w:p>
        </w:tc>
        <w:tc>
          <w:tcPr>
            <w:tcW w:w="1154"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0.97</w:t>
            </w:r>
          </w:p>
        </w:tc>
        <w:tc>
          <w:tcPr>
            <w:tcW w:w="1201"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1.09</w:t>
            </w:r>
          </w:p>
        </w:tc>
        <w:tc>
          <w:tcPr>
            <w:tcW w:w="1170" w:type="dxa"/>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1.09</w:t>
            </w:r>
          </w:p>
        </w:tc>
        <w:tc>
          <w:tcPr>
            <w:tcW w:w="760" w:type="dxa"/>
            <w:vAlign w:val="center"/>
          </w:tcPr>
          <w:p>
            <w:pPr>
              <w:widowControl/>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4.0</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rPr>
      </w:pPr>
      <w:r>
        <w:rPr>
          <w:rFonts w:hint="default" w:ascii="Times New Roman" w:hAnsi="Times New Roman" w:cs="Times New Roman"/>
          <w:b/>
          <w:bCs/>
        </w:rPr>
        <w:t>表9-</w:t>
      </w:r>
      <w:r>
        <w:rPr>
          <w:rFonts w:hint="eastAsia" w:ascii="Times New Roman" w:hAnsi="Times New Roman" w:cs="Times New Roman"/>
          <w:b/>
          <w:bCs/>
          <w:lang w:val="en-US" w:eastAsia="zh-CN"/>
        </w:rPr>
        <w:t>5</w:t>
      </w:r>
      <w:r>
        <w:rPr>
          <w:rFonts w:hint="default" w:ascii="Times New Roman" w:hAnsi="Times New Roman" w:cs="Times New Roman"/>
          <w:b/>
          <w:bCs/>
        </w:rPr>
        <w:t xml:space="preserve">  气象参数</w:t>
      </w:r>
    </w:p>
    <w:tbl>
      <w:tblPr>
        <w:tblStyle w:val="16"/>
        <w:tblW w:w="890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4"/>
        <w:gridCol w:w="1191"/>
        <w:gridCol w:w="1081"/>
        <w:gridCol w:w="1079"/>
        <w:gridCol w:w="1081"/>
        <w:gridCol w:w="1081"/>
        <w:gridCol w:w="1081"/>
        <w:gridCol w:w="1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234" w:type="dxa"/>
            <w:vAlign w:val="center"/>
          </w:tcPr>
          <w:p>
            <w:pPr>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检测日期</w:t>
            </w: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检测时间</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kern w:val="0"/>
                <w:sz w:val="21"/>
                <w:szCs w:val="21"/>
              </w:rPr>
              <w:t>天气</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 xml:space="preserve">温度(℃) </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 w:val="21"/>
                <w:szCs w:val="21"/>
              </w:rPr>
              <w:t>湿度(</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color w:val="000000"/>
                <w:sz w:val="21"/>
                <w:szCs w:val="21"/>
              </w:rPr>
              <w:t>风向</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color w:val="000000"/>
                <w:sz w:val="21"/>
                <w:szCs w:val="21"/>
              </w:rPr>
              <w:t>风速(m/s)</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大气压(kPa)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restart"/>
            <w:vAlign w:val="center"/>
          </w:tcPr>
          <w:p>
            <w:pPr>
              <w:widowControl/>
              <w:jc w:val="center"/>
              <w:rPr>
                <w:rFonts w:hint="default" w:ascii="Times New Roman" w:hAnsi="Times New Roman" w:cs="Times New Roman"/>
                <w:sz w:val="21"/>
                <w:szCs w:val="21"/>
                <w:lang w:val="en-US"/>
              </w:rPr>
            </w:pPr>
            <w:r>
              <w:rPr>
                <w:rFonts w:hint="default" w:ascii="Times New Roman" w:hAnsi="Times New Roman" w:cs="Times New Roman"/>
                <w:kern w:val="0"/>
                <w:sz w:val="21"/>
                <w:szCs w:val="21"/>
                <w:lang w:val="en-US" w:eastAsia="zh-CN"/>
              </w:rPr>
              <w:t>2018.11.29</w:t>
            </w: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09:00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eastAsia="宋体" w:cs="Times New Roman"/>
                <w:color w:val="000000"/>
                <w:sz w:val="21"/>
                <w:szCs w:val="21"/>
                <w:lang w:val="en-US" w:eastAsia="zh-CN"/>
              </w:rPr>
              <w:t>晴</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15</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center"/>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10:30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晴</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17</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center"/>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13:00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晴</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top"/>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14:30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晴</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19</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restart"/>
            <w:vAlign w:val="center"/>
          </w:tcPr>
          <w:p>
            <w:pPr>
              <w:widowControl/>
              <w:jc w:val="center"/>
              <w:rPr>
                <w:rFonts w:hint="default" w:ascii="Times New Roman" w:hAnsi="Times New Roman" w:cs="Times New Roman"/>
                <w:sz w:val="21"/>
                <w:szCs w:val="21"/>
                <w:lang w:val="en-US"/>
              </w:rPr>
            </w:pPr>
            <w:r>
              <w:rPr>
                <w:rFonts w:hint="default" w:ascii="Times New Roman" w:hAnsi="Times New Roman" w:cs="Times New Roman"/>
                <w:kern w:val="0"/>
                <w:sz w:val="21"/>
                <w:szCs w:val="21"/>
                <w:lang w:val="en-US" w:eastAsia="zh-CN"/>
              </w:rPr>
              <w:t>2018.11.30</w:t>
            </w: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09:00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eastAsia="宋体" w:cs="Times New Roman"/>
                <w:color w:val="000000"/>
                <w:sz w:val="21"/>
                <w:szCs w:val="21"/>
                <w:lang w:val="en-US" w:eastAsia="zh-CN"/>
              </w:rPr>
              <w:t>多云</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16</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57</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center"/>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10:30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18</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57</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center"/>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13:00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57</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234" w:type="dxa"/>
            <w:vMerge w:val="continue"/>
            <w:vAlign w:val="top"/>
          </w:tcPr>
          <w:p>
            <w:pPr>
              <w:spacing w:line="280" w:lineRule="exact"/>
              <w:jc w:val="center"/>
              <w:rPr>
                <w:rFonts w:hint="default" w:ascii="Times New Roman" w:hAnsi="Times New Roman" w:cs="Times New Roman"/>
                <w:sz w:val="21"/>
                <w:szCs w:val="21"/>
              </w:rPr>
            </w:pPr>
          </w:p>
        </w:tc>
        <w:tc>
          <w:tcPr>
            <w:tcW w:w="1191" w:type="dxa"/>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14:30</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多云</w:t>
            </w:r>
          </w:p>
        </w:tc>
        <w:tc>
          <w:tcPr>
            <w:tcW w:w="107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19</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57</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108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color w:val="000000"/>
                <w:sz w:val="21"/>
                <w:szCs w:val="21"/>
                <w:lang w:val="en-US" w:eastAsia="zh-CN"/>
              </w:rPr>
              <w:t>2.0</w:t>
            </w:r>
          </w:p>
        </w:tc>
        <w:tc>
          <w:tcPr>
            <w:tcW w:w="107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102.0</w:t>
            </w:r>
          </w:p>
        </w:tc>
      </w:tr>
    </w:tbl>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9.2.3噪声</w:t>
      </w:r>
    </w:p>
    <w:p>
      <w:pPr>
        <w:spacing w:line="360" w:lineRule="auto"/>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嘉兴威正检测服务有限公司于</w:t>
      </w:r>
      <w:r>
        <w:rPr>
          <w:rFonts w:hint="default" w:ascii="Times New Roman" w:hAnsi="Times New Roman" w:cs="Times New Roman"/>
          <w:b w:val="0"/>
          <w:bCs w:val="0"/>
          <w:sz w:val="24"/>
          <w:szCs w:val="24"/>
          <w:lang w:val="en-US" w:eastAsia="zh-CN"/>
        </w:rPr>
        <w:t>201</w:t>
      </w:r>
      <w:r>
        <w:rPr>
          <w:rFonts w:hint="eastAsia"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lang w:val="en-US" w:eastAsia="zh-CN"/>
        </w:rPr>
        <w:t>年</w:t>
      </w:r>
      <w:r>
        <w:rPr>
          <w:rFonts w:hint="eastAsia" w:ascii="Times New Roman" w:hAnsi="Times New Roman" w:cs="Times New Roman"/>
          <w:b w:val="0"/>
          <w:bCs w:val="0"/>
          <w:sz w:val="24"/>
          <w:szCs w:val="24"/>
          <w:lang w:val="en-US" w:eastAsia="zh-CN"/>
        </w:rPr>
        <w:t>11月29日、11月30日</w:t>
      </w:r>
      <w:r>
        <w:rPr>
          <w:rFonts w:hint="default" w:ascii="Times New Roman" w:hAnsi="Times New Roman" w:cs="Times New Roman"/>
          <w:b w:val="0"/>
          <w:bCs w:val="0"/>
          <w:sz w:val="24"/>
          <w:szCs w:val="24"/>
          <w:lang w:val="en-US" w:eastAsia="zh-CN"/>
        </w:rPr>
        <w:t>对</w:t>
      </w:r>
      <w:r>
        <w:rPr>
          <w:rFonts w:hint="eastAsia" w:ascii="Times New Roman" w:hAnsi="Times New Roman" w:cs="Times New Roman"/>
          <w:b w:val="0"/>
          <w:bCs w:val="0"/>
          <w:sz w:val="24"/>
          <w:szCs w:val="24"/>
          <w:lang w:val="en-US" w:eastAsia="zh-CN"/>
        </w:rPr>
        <w:t>浙江德沃轴承有限公司</w:t>
      </w:r>
      <w:r>
        <w:rPr>
          <w:rFonts w:hint="eastAsia" w:ascii="Times New Roman" w:hAnsi="Times New Roman" w:cs="Times New Roman"/>
          <w:sz w:val="24"/>
          <w:szCs w:val="24"/>
          <w:lang w:val="en-US" w:eastAsia="zh-CN"/>
        </w:rPr>
        <w:t>的厂界</w:t>
      </w:r>
      <w:r>
        <w:rPr>
          <w:rFonts w:hint="default" w:ascii="Times New Roman" w:hAnsi="Times New Roman" w:cs="Times New Roman"/>
          <w:sz w:val="24"/>
          <w:szCs w:val="24"/>
          <w:lang w:val="en-US" w:eastAsia="zh-CN"/>
        </w:rPr>
        <w:t>噪声进行了现场监测。</w:t>
      </w:r>
    </w:p>
    <w:p>
      <w:pPr>
        <w:spacing w:line="360" w:lineRule="auto"/>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rPr>
        <w:t>监测结果表明，</w:t>
      </w:r>
      <w:r>
        <w:rPr>
          <w:rFonts w:hint="eastAsia" w:ascii="Times New Roman" w:hAnsi="Times New Roman" w:cs="Times New Roman"/>
          <w:sz w:val="24"/>
          <w:szCs w:val="24"/>
          <w:lang w:val="en-US" w:eastAsia="zh-CN"/>
        </w:rPr>
        <w:t>东、西、北</w:t>
      </w:r>
      <w:r>
        <w:rPr>
          <w:rFonts w:hint="default" w:ascii="Times New Roman" w:hAnsi="Times New Roman" w:cs="Times New Roman"/>
          <w:sz w:val="24"/>
          <w:szCs w:val="24"/>
        </w:rPr>
        <w:t>厂界昼</w:t>
      </w:r>
      <w:r>
        <w:rPr>
          <w:rFonts w:hint="default" w:ascii="Times New Roman" w:hAnsi="Times New Roman" w:cs="Times New Roman"/>
          <w:sz w:val="24"/>
          <w:szCs w:val="24"/>
          <w:lang w:val="en-US" w:eastAsia="zh-CN"/>
        </w:rPr>
        <w:t>间</w:t>
      </w:r>
      <w:r>
        <w:rPr>
          <w:rFonts w:hint="default" w:ascii="Times New Roman" w:hAnsi="Times New Roman" w:cs="Times New Roman"/>
          <w:sz w:val="24"/>
          <w:szCs w:val="24"/>
        </w:rPr>
        <w:t>噪声监测值均达到《工业企业厂界环境噪声排放标准》（GB12348-2008）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default" w:ascii="Times New Roman" w:hAnsi="Times New Roman" w:cs="Times New Roman"/>
          <w:sz w:val="24"/>
          <w:szCs w:val="24"/>
          <w:lang w:val="en-US" w:eastAsia="zh-CN"/>
        </w:rPr>
        <w:t>3类标准</w:t>
      </w:r>
      <w:r>
        <w:rPr>
          <w:rFonts w:hint="eastAsia" w:ascii="Times New Roman" w:hAnsi="Times New Roman" w:cs="Times New Roman"/>
          <w:sz w:val="24"/>
          <w:szCs w:val="24"/>
          <w:lang w:val="en-US" w:eastAsia="zh-CN"/>
        </w:rPr>
        <w:t>；南厂界昼间噪声监测值达到</w:t>
      </w:r>
      <w:r>
        <w:rPr>
          <w:rFonts w:hint="default" w:ascii="Times New Roman" w:hAnsi="Times New Roman" w:cs="Times New Roman"/>
          <w:sz w:val="24"/>
          <w:szCs w:val="24"/>
        </w:rPr>
        <w:t>《工业企业厂界环境噪声排放标准》（GB12348-2008）</w:t>
      </w:r>
      <w:r>
        <w:rPr>
          <w:rFonts w:hint="default" w:ascii="Times New Roman" w:hAnsi="Times New Roman" w:cs="Times New Roman"/>
          <w:sz w:val="24"/>
          <w:szCs w:val="24"/>
          <w:lang w:val="en-US" w:eastAsia="zh-CN"/>
        </w:rPr>
        <w:t>中</w:t>
      </w:r>
      <w:r>
        <w:rPr>
          <w:rFonts w:hint="default" w:ascii="Times New Roman" w:hAnsi="Times New Roman" w:cs="Times New Roman"/>
          <w:sz w:val="24"/>
          <w:szCs w:val="24"/>
        </w:rPr>
        <w:t>的</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类标准</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噪声监测结果见表9-</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w:t>
      </w:r>
    </w:p>
    <w:p>
      <w:pPr>
        <w:pStyle w:val="27"/>
        <w:spacing w:beforeLines="0" w:afterLines="0"/>
        <w:rPr>
          <w:rFonts w:hint="default" w:ascii="Times New Roman" w:hAnsi="Times New Roman" w:cs="Times New Roman"/>
          <w:b/>
          <w:bCs/>
          <w:sz w:val="21"/>
          <w:szCs w:val="21"/>
        </w:rPr>
      </w:pPr>
      <w:r>
        <w:rPr>
          <w:rFonts w:hint="default" w:ascii="Times New Roman" w:hAnsi="Times New Roman" w:cs="Times New Roman"/>
          <w:b/>
          <w:bCs/>
          <w:sz w:val="21"/>
          <w:szCs w:val="21"/>
        </w:rPr>
        <w:t>表9-</w:t>
      </w:r>
      <w:r>
        <w:rPr>
          <w:rFonts w:hint="eastAsia" w:ascii="Times New Roman" w:hAnsi="Times New Roman" w:cs="Times New Roman"/>
          <w:b/>
          <w:bCs/>
          <w:sz w:val="21"/>
          <w:szCs w:val="21"/>
          <w:lang w:val="en-US" w:eastAsia="zh-CN"/>
        </w:rPr>
        <w:t>6</w:t>
      </w:r>
      <w:r>
        <w:rPr>
          <w:rFonts w:hint="default" w:ascii="Times New Roman" w:hAnsi="Times New Roman" w:cs="Times New Roman"/>
          <w:b/>
          <w:bCs/>
          <w:sz w:val="21"/>
          <w:szCs w:val="21"/>
        </w:rPr>
        <w:t xml:space="preserve">  噪声监测结果</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05"/>
        <w:gridCol w:w="1686"/>
        <w:gridCol w:w="1453"/>
        <w:gridCol w:w="11"/>
        <w:gridCol w:w="144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监测日期</w:t>
            </w:r>
          </w:p>
        </w:tc>
        <w:tc>
          <w:tcPr>
            <w:tcW w:w="1305"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1686"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监测时间</w:t>
            </w:r>
          </w:p>
        </w:tc>
        <w:tc>
          <w:tcPr>
            <w:tcW w:w="1464" w:type="dxa"/>
            <w:gridSpan w:val="2"/>
            <w:vAlign w:val="center"/>
          </w:tcPr>
          <w:p>
            <w:pPr>
              <w:pStyle w:val="8"/>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监测值</w:t>
            </w:r>
          </w:p>
        </w:tc>
        <w:tc>
          <w:tcPr>
            <w:tcW w:w="1441"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453"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restar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201</w:t>
            </w: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val="en-US" w:eastAsia="zh-CN"/>
              </w:rPr>
              <w:t>9</w:t>
            </w:r>
          </w:p>
        </w:tc>
        <w:tc>
          <w:tcPr>
            <w:tcW w:w="1305" w:type="dxa"/>
            <w:vMerge w:val="restart"/>
            <w:vAlign w:val="center"/>
          </w:tcPr>
          <w:p>
            <w:pPr>
              <w:spacing w:line="240" w:lineRule="auto"/>
              <w:jc w:val="center"/>
              <w:rPr>
                <w:rFonts w:hint="default" w:ascii="Times New Roman" w:hAnsi="Times New Roman" w:eastAsia="宋体" w:cs="Times New Roman"/>
                <w:sz w:val="21"/>
                <w:szCs w:val="21"/>
                <w:bdr w:val="single" w:color="auto" w:sz="4" w:space="0"/>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东厂界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10</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63.1</w:t>
            </w:r>
          </w:p>
        </w:tc>
        <w:tc>
          <w:tcPr>
            <w:tcW w:w="1441" w:type="dxa"/>
            <w:vAlign w:val="center"/>
          </w:tcPr>
          <w:p>
            <w:pPr>
              <w:pStyle w:val="8"/>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13</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63.3</w:t>
            </w:r>
          </w:p>
        </w:tc>
        <w:tc>
          <w:tcPr>
            <w:tcW w:w="1441" w:type="dxa"/>
            <w:vAlign w:val="center"/>
          </w:tcPr>
          <w:p>
            <w:pPr>
              <w:pStyle w:val="8"/>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南厂界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13</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60.7</w:t>
            </w:r>
          </w:p>
        </w:tc>
        <w:tc>
          <w:tcPr>
            <w:tcW w:w="1441" w:type="dxa"/>
            <w:vAlign w:val="center"/>
          </w:tcPr>
          <w:p>
            <w:pPr>
              <w:pStyle w:val="8"/>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70</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16</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61.0</w:t>
            </w:r>
          </w:p>
        </w:tc>
        <w:tc>
          <w:tcPr>
            <w:tcW w:w="1441" w:type="dxa"/>
            <w:vAlign w:val="center"/>
          </w:tcPr>
          <w:p>
            <w:pPr>
              <w:pStyle w:val="8"/>
              <w:spacing w:line="240" w:lineRule="auto"/>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bCs/>
                <w:sz w:val="21"/>
                <w:szCs w:val="21"/>
                <w:lang w:val="en-US" w:eastAsia="zh-CN"/>
              </w:rPr>
              <w:t>70</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西厂界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16</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59.1</w:t>
            </w:r>
          </w:p>
        </w:tc>
        <w:tc>
          <w:tcPr>
            <w:tcW w:w="144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19</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59.6</w:t>
            </w:r>
          </w:p>
        </w:tc>
        <w:tc>
          <w:tcPr>
            <w:tcW w:w="1441" w:type="dxa"/>
            <w:vAlign w:val="center"/>
          </w:tcPr>
          <w:p>
            <w:pPr>
              <w:spacing w:line="240"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rPr>
              <w:t>4</w:t>
            </w:r>
            <w:r>
              <w:rPr>
                <w:rFonts w:hint="default" w:ascii="Times New Roman" w:hAnsi="Times New Roman" w:eastAsia="宋体" w:cs="Times New Roman"/>
                <w:kern w:val="2"/>
                <w:sz w:val="21"/>
                <w:szCs w:val="21"/>
                <w:vertAlign w:val="superscript"/>
              </w:rPr>
              <w:t>#</w:t>
            </w:r>
            <w:r>
              <w:rPr>
                <w:rFonts w:hint="default" w:ascii="Times New Roman" w:hAnsi="Times New Roman" w:eastAsia="宋体" w:cs="Times New Roman"/>
                <w:kern w:val="2"/>
                <w:sz w:val="21"/>
                <w:szCs w:val="21"/>
              </w:rPr>
              <w:t>北厂界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19</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64.3</w:t>
            </w:r>
          </w:p>
        </w:tc>
        <w:tc>
          <w:tcPr>
            <w:tcW w:w="1441" w:type="dxa"/>
            <w:vAlign w:val="center"/>
          </w:tcPr>
          <w:p>
            <w:pPr>
              <w:pStyle w:val="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22</w:t>
            </w:r>
          </w:p>
        </w:tc>
        <w:tc>
          <w:tcPr>
            <w:tcW w:w="146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64.1</w:t>
            </w:r>
          </w:p>
        </w:tc>
        <w:tc>
          <w:tcPr>
            <w:tcW w:w="1441" w:type="dxa"/>
            <w:vAlign w:val="center"/>
          </w:tcPr>
          <w:p>
            <w:pPr>
              <w:pStyle w:val="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restart"/>
            <w:vAlign w:val="center"/>
          </w:tcPr>
          <w:p>
            <w:pPr>
              <w:spacing w:line="240"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201</w:t>
            </w: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30</w:t>
            </w:r>
          </w:p>
        </w:tc>
        <w:tc>
          <w:tcPr>
            <w:tcW w:w="1305" w:type="dxa"/>
            <w:vMerge w:val="restart"/>
            <w:vAlign w:val="center"/>
          </w:tcPr>
          <w:p>
            <w:pPr>
              <w:spacing w:line="240" w:lineRule="auto"/>
              <w:jc w:val="center"/>
              <w:rPr>
                <w:rFonts w:hint="default" w:ascii="Times New Roman" w:hAnsi="Times New Roman" w:eastAsia="宋体" w:cs="Times New Roman"/>
                <w:sz w:val="21"/>
                <w:szCs w:val="21"/>
                <w:bdr w:val="single" w:color="auto" w:sz="4" w:space="0"/>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东厂界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38</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58.2</w:t>
            </w:r>
          </w:p>
        </w:tc>
        <w:tc>
          <w:tcPr>
            <w:tcW w:w="1452" w:type="dxa"/>
            <w:gridSpan w:val="2"/>
            <w:vAlign w:val="center"/>
          </w:tcPr>
          <w:p>
            <w:pPr>
              <w:pStyle w:val="8"/>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20</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60.4</w:t>
            </w:r>
          </w:p>
        </w:tc>
        <w:tc>
          <w:tcPr>
            <w:tcW w:w="1452" w:type="dxa"/>
            <w:gridSpan w:val="2"/>
            <w:vAlign w:val="center"/>
          </w:tcPr>
          <w:p>
            <w:pPr>
              <w:pStyle w:val="8"/>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lang w:val="en-US"/>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南厂界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42</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60.5</w:t>
            </w:r>
          </w:p>
        </w:tc>
        <w:tc>
          <w:tcPr>
            <w:tcW w:w="1452" w:type="dxa"/>
            <w:gridSpan w:val="2"/>
            <w:vAlign w:val="center"/>
          </w:tcPr>
          <w:p>
            <w:pPr>
              <w:pStyle w:val="8"/>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70</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lang w:val="en-US"/>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23</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59.1</w:t>
            </w:r>
          </w:p>
        </w:tc>
        <w:tc>
          <w:tcPr>
            <w:tcW w:w="1452" w:type="dxa"/>
            <w:gridSpan w:val="2"/>
            <w:vAlign w:val="center"/>
          </w:tcPr>
          <w:p>
            <w:pPr>
              <w:pStyle w:val="8"/>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70</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西厂界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46</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61.5</w:t>
            </w:r>
          </w:p>
        </w:tc>
        <w:tc>
          <w:tcPr>
            <w:tcW w:w="1452" w:type="dxa"/>
            <w:gridSpan w:val="2"/>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27</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61.9</w:t>
            </w:r>
          </w:p>
        </w:tc>
        <w:tc>
          <w:tcPr>
            <w:tcW w:w="1452" w:type="dxa"/>
            <w:gridSpan w:val="2"/>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rPr>
              <w:t>4</w:t>
            </w:r>
            <w:r>
              <w:rPr>
                <w:rFonts w:hint="default" w:ascii="Times New Roman" w:hAnsi="Times New Roman" w:eastAsia="宋体" w:cs="Times New Roman"/>
                <w:kern w:val="2"/>
                <w:sz w:val="21"/>
                <w:szCs w:val="21"/>
                <w:vertAlign w:val="superscript"/>
              </w:rPr>
              <w:t>#</w:t>
            </w:r>
            <w:r>
              <w:rPr>
                <w:rFonts w:hint="default" w:ascii="Times New Roman" w:hAnsi="Times New Roman" w:eastAsia="宋体" w:cs="Times New Roman"/>
                <w:kern w:val="2"/>
                <w:sz w:val="21"/>
                <w:szCs w:val="21"/>
              </w:rPr>
              <w:t>北厂界</w:t>
            </w: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51</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61.2</w:t>
            </w:r>
          </w:p>
        </w:tc>
        <w:tc>
          <w:tcPr>
            <w:tcW w:w="1452" w:type="dxa"/>
            <w:gridSpan w:val="2"/>
            <w:vAlign w:val="center"/>
          </w:tcPr>
          <w:p>
            <w:pPr>
              <w:pStyle w:val="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vMerge w:val="continue"/>
            <w:vAlign w:val="center"/>
          </w:tcPr>
          <w:p>
            <w:pPr>
              <w:spacing w:line="240" w:lineRule="auto"/>
              <w:jc w:val="center"/>
              <w:rPr>
                <w:rFonts w:hint="default" w:ascii="Times New Roman" w:hAnsi="Times New Roman" w:eastAsia="宋体" w:cs="Times New Roman"/>
                <w:sz w:val="21"/>
                <w:szCs w:val="21"/>
              </w:rPr>
            </w:pPr>
          </w:p>
        </w:tc>
        <w:tc>
          <w:tcPr>
            <w:tcW w:w="1305" w:type="dxa"/>
            <w:vMerge w:val="continue"/>
            <w:vAlign w:val="center"/>
          </w:tcPr>
          <w:p>
            <w:pPr>
              <w:spacing w:line="240" w:lineRule="auto"/>
              <w:jc w:val="center"/>
              <w:rPr>
                <w:rFonts w:hint="default" w:ascii="Times New Roman" w:hAnsi="Times New Roman" w:eastAsia="宋体" w:cs="Times New Roman"/>
                <w:sz w:val="21"/>
                <w:szCs w:val="21"/>
              </w:rPr>
            </w:pPr>
          </w:p>
        </w:tc>
        <w:tc>
          <w:tcPr>
            <w:tcW w:w="1686"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31</w:t>
            </w:r>
          </w:p>
        </w:tc>
        <w:tc>
          <w:tcPr>
            <w:tcW w:w="1453"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61.4</w:t>
            </w:r>
          </w:p>
        </w:tc>
        <w:tc>
          <w:tcPr>
            <w:tcW w:w="1452" w:type="dxa"/>
            <w:gridSpan w:val="2"/>
            <w:vAlign w:val="center"/>
          </w:tcPr>
          <w:p>
            <w:pPr>
              <w:pStyle w:val="8"/>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65</w:t>
            </w:r>
          </w:p>
        </w:tc>
        <w:tc>
          <w:tcPr>
            <w:tcW w:w="1453" w:type="dxa"/>
            <w:vAlign w:val="center"/>
          </w:tcPr>
          <w:p>
            <w:pPr>
              <w:spacing w:line="240" w:lineRule="auto"/>
              <w:ind w:left="-107" w:leftChars="-51" w:right="-128" w:rightChars="-6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spacing w:line="360" w:lineRule="auto"/>
        <w:rPr>
          <w:rFonts w:hint="default" w:ascii="Times New Roman" w:hAnsi="Times New Roman" w:cs="Times New Roman"/>
          <w:b/>
          <w:bCs/>
          <w:sz w:val="24"/>
          <w:szCs w:val="24"/>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9.2.4固（液）体废物</w:t>
      </w:r>
    </w:p>
    <w:p>
      <w:pPr>
        <w:spacing w:line="360" w:lineRule="auto"/>
        <w:ind w:firstLine="435"/>
        <w:rPr>
          <w:rFonts w:hint="default" w:ascii="Times New Roman" w:hAnsi="Times New Roman" w:cs="Times New Roman"/>
          <w:sz w:val="24"/>
          <w:szCs w:val="24"/>
        </w:rPr>
      </w:pPr>
      <w:r>
        <w:rPr>
          <w:rFonts w:hint="default" w:ascii="Times New Roman" w:hAnsi="Times New Roman" w:cs="Times New Roman"/>
          <w:sz w:val="24"/>
          <w:szCs w:val="24"/>
        </w:rPr>
        <w:t>根据环评报告预测结果及验收期间实际调查情况得知该企业的固废具体情况，见表9-</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p>
    <w:p>
      <w:pPr>
        <w:spacing w:line="360" w:lineRule="auto"/>
        <w:ind w:firstLine="435"/>
        <w:rPr>
          <w:rFonts w:hint="default" w:ascii="Times New Roman" w:hAnsi="Times New Roman" w:cs="Times New Roman"/>
          <w:sz w:val="24"/>
          <w:szCs w:val="24"/>
        </w:rPr>
      </w:pPr>
    </w:p>
    <w:p>
      <w:pPr>
        <w:spacing w:line="360" w:lineRule="auto"/>
        <w:ind w:firstLine="435"/>
        <w:rPr>
          <w:rFonts w:hint="default" w:ascii="Times New Roman" w:hAnsi="Times New Roman" w:cs="Times New Roman"/>
          <w:sz w:val="24"/>
          <w:szCs w:val="24"/>
        </w:rPr>
      </w:pPr>
    </w:p>
    <w:p>
      <w:pPr>
        <w:spacing w:line="360" w:lineRule="auto"/>
        <w:ind w:firstLine="435"/>
        <w:rPr>
          <w:rFonts w:hint="default" w:ascii="Times New Roman" w:hAnsi="Times New Roman" w:cs="Times New Roman"/>
          <w:sz w:val="24"/>
          <w:szCs w:val="24"/>
        </w:rPr>
      </w:pPr>
    </w:p>
    <w:p>
      <w:pPr>
        <w:spacing w:line="360" w:lineRule="auto"/>
        <w:ind w:firstLine="435"/>
        <w:rPr>
          <w:rFonts w:hint="default" w:ascii="Times New Roman" w:hAnsi="Times New Roman" w:cs="Times New Roman"/>
          <w:sz w:val="24"/>
          <w:szCs w:val="24"/>
        </w:rPr>
      </w:pPr>
    </w:p>
    <w:p>
      <w:pPr>
        <w:spacing w:line="360" w:lineRule="auto"/>
        <w:ind w:firstLine="435"/>
        <w:rPr>
          <w:rFonts w:hint="default" w:ascii="Times New Roman" w:hAnsi="Times New Roman" w:cs="Times New Roman"/>
          <w:sz w:val="24"/>
          <w:szCs w:val="24"/>
        </w:rPr>
      </w:pPr>
    </w:p>
    <w:p>
      <w:pPr>
        <w:spacing w:line="360" w:lineRule="auto"/>
        <w:ind w:firstLine="435"/>
        <w:rPr>
          <w:rFonts w:hint="default" w:ascii="Times New Roman" w:hAnsi="Times New Roman" w:cs="Times New Roman"/>
          <w:sz w:val="24"/>
          <w:szCs w:val="24"/>
        </w:rPr>
      </w:pPr>
    </w:p>
    <w:p>
      <w:pPr>
        <w:ind w:firstLine="420"/>
        <w:jc w:val="center"/>
        <w:rPr>
          <w:rFonts w:hint="default" w:ascii="Times New Roman" w:hAnsi="Times New Roman" w:eastAsia="黑体" w:cs="Times New Roman"/>
          <w:b/>
          <w:bCs/>
        </w:rPr>
      </w:pPr>
      <w:r>
        <w:rPr>
          <w:rFonts w:hint="default" w:ascii="Times New Roman" w:hAnsi="Times New Roman" w:cs="Times New Roman"/>
          <w:b/>
          <w:bCs/>
        </w:rPr>
        <w:t>表9-</w:t>
      </w:r>
      <w:r>
        <w:rPr>
          <w:rFonts w:hint="eastAsia" w:ascii="Times New Roman" w:hAnsi="Times New Roman" w:cs="Times New Roman"/>
          <w:b/>
          <w:bCs/>
          <w:lang w:val="en-US" w:eastAsia="zh-CN"/>
        </w:rPr>
        <w:t>7</w:t>
      </w:r>
      <w:r>
        <w:rPr>
          <w:rFonts w:hint="default" w:ascii="Times New Roman" w:hAnsi="Times New Roman" w:cs="Times New Roman"/>
          <w:b/>
          <w:bCs/>
        </w:rPr>
        <w:t xml:space="preserve">  固体废物监测情况明细表（单位：t/a）</w:t>
      </w:r>
    </w:p>
    <w:tbl>
      <w:tblPr>
        <w:tblStyle w:val="1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95"/>
        <w:gridCol w:w="1175"/>
        <w:gridCol w:w="1075"/>
        <w:gridCol w:w="1298"/>
        <w:gridCol w:w="871"/>
        <w:gridCol w:w="2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序号</w:t>
            </w:r>
          </w:p>
        </w:tc>
        <w:tc>
          <w:tcPr>
            <w:tcW w:w="1395"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副产物名称</w:t>
            </w:r>
          </w:p>
        </w:tc>
        <w:tc>
          <w:tcPr>
            <w:tcW w:w="1175"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产生工序</w:t>
            </w:r>
          </w:p>
        </w:tc>
        <w:tc>
          <w:tcPr>
            <w:tcW w:w="1075"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属性</w:t>
            </w:r>
          </w:p>
        </w:tc>
        <w:tc>
          <w:tcPr>
            <w:tcW w:w="1298" w:type="dxa"/>
            <w:tcBorders>
              <w:top w:val="single" w:color="auto" w:sz="8" w:space="0"/>
            </w:tcBorders>
            <w:vAlign w:val="center"/>
          </w:tcPr>
          <w:p>
            <w:pPr>
              <w:snapToGrid w:val="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危废代码</w:t>
            </w:r>
          </w:p>
        </w:tc>
        <w:tc>
          <w:tcPr>
            <w:tcW w:w="871"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产生量</w:t>
            </w:r>
          </w:p>
        </w:tc>
        <w:tc>
          <w:tcPr>
            <w:tcW w:w="2053" w:type="dxa"/>
            <w:tcBorders>
              <w:top w:val="single" w:color="auto" w:sz="8"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处置方式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tcBorders>
              <w:top w:val="single" w:color="auto" w:sz="8" w:space="0"/>
            </w:tcBorders>
            <w:vAlign w:val="center"/>
          </w:tcPr>
          <w:p>
            <w:pPr>
              <w:snapToGrid w:val="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w:t>
            </w:r>
          </w:p>
        </w:tc>
        <w:tc>
          <w:tcPr>
            <w:tcW w:w="1395" w:type="dxa"/>
            <w:tcBorders>
              <w:top w:val="single" w:color="auto" w:sz="8" w:space="0"/>
            </w:tcBorders>
            <w:vAlign w:val="center"/>
          </w:tcPr>
          <w:p>
            <w:pPr>
              <w:snapToGrid w:val="0"/>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边角料</w:t>
            </w:r>
          </w:p>
        </w:tc>
        <w:tc>
          <w:tcPr>
            <w:tcW w:w="1175" w:type="dxa"/>
            <w:tcBorders>
              <w:top w:val="single" w:color="auto" w:sz="8" w:space="0"/>
            </w:tcBorders>
            <w:vAlign w:val="center"/>
          </w:tcPr>
          <w:p>
            <w:pPr>
              <w:snapToGrid w:val="0"/>
              <w:jc w:val="center"/>
              <w:rPr>
                <w:rFonts w:hint="default" w:ascii="Times New Roman" w:hAnsi="Times New Roman" w:cs="Times New Roman"/>
              </w:rPr>
            </w:pPr>
            <w:r>
              <w:rPr>
                <w:rFonts w:hint="eastAsia" w:ascii="Times New Roman" w:hAnsi="Times New Roman" w:cs="Times New Roman"/>
                <w:color w:val="auto"/>
                <w:sz w:val="21"/>
                <w:szCs w:val="21"/>
                <w:lang w:val="en-US" w:eastAsia="zh-CN"/>
              </w:rPr>
              <w:t>机加工</w:t>
            </w:r>
          </w:p>
        </w:tc>
        <w:tc>
          <w:tcPr>
            <w:tcW w:w="1075" w:type="dxa"/>
            <w:tcBorders>
              <w:top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color w:val="auto"/>
                <w:sz w:val="21"/>
                <w:szCs w:val="21"/>
              </w:rPr>
              <w:t>一般固废</w:t>
            </w:r>
          </w:p>
        </w:tc>
        <w:tc>
          <w:tcPr>
            <w:tcW w:w="1298" w:type="dxa"/>
            <w:tcBorders>
              <w:top w:val="single" w:color="auto" w:sz="8" w:space="0"/>
            </w:tcBorders>
            <w:vAlign w:val="center"/>
          </w:tcPr>
          <w:p>
            <w:pPr>
              <w:jc w:val="center"/>
              <w:rPr>
                <w:rFonts w:hint="default" w:ascii="Times New Roman" w:hAnsi="Times New Roman" w:cs="Times New Roman"/>
                <w:lang w:val="en-US" w:eastAsia="zh-CN"/>
              </w:rPr>
            </w:pPr>
            <w:r>
              <w:rPr>
                <w:rFonts w:hint="eastAsia" w:cs="Times New Roman"/>
                <w:lang w:val="en-US" w:eastAsia="zh-CN"/>
              </w:rPr>
              <w:t>/</w:t>
            </w:r>
          </w:p>
        </w:tc>
        <w:tc>
          <w:tcPr>
            <w:tcW w:w="871" w:type="dxa"/>
            <w:tcBorders>
              <w:top w:val="single" w:color="auto" w:sz="8" w:space="0"/>
            </w:tcBorders>
            <w:vAlign w:val="center"/>
          </w:tcPr>
          <w:p>
            <w:pPr>
              <w:snapToGrid w:val="0"/>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w:t>
            </w:r>
          </w:p>
        </w:tc>
        <w:tc>
          <w:tcPr>
            <w:tcW w:w="2053" w:type="dxa"/>
            <w:vMerge w:val="restart"/>
            <w:tcBorders>
              <w:top w:val="single" w:color="auto" w:sz="8" w:space="0"/>
            </w:tcBorders>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sz w:val="21"/>
                <w:szCs w:val="21"/>
                <w:lang w:val="en-US" w:eastAsia="zh-CN"/>
              </w:rPr>
              <w:t>经收集后外卖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37" w:type="dxa"/>
            <w:vAlign w:val="center"/>
          </w:tcPr>
          <w:p>
            <w:pPr>
              <w:jc w:val="center"/>
              <w:rPr>
                <w:rFonts w:hint="default" w:ascii="Times New Roman" w:hAnsi="Times New Roman" w:cs="Times New Roman"/>
              </w:rPr>
            </w:pPr>
            <w:r>
              <w:rPr>
                <w:rFonts w:hint="eastAsia" w:ascii="Times New Roman" w:hAnsi="Times New Roman" w:cs="Times New Roman"/>
                <w:color w:val="auto"/>
                <w:sz w:val="21"/>
                <w:szCs w:val="21"/>
                <w:lang w:val="en-US" w:eastAsia="zh-CN"/>
              </w:rPr>
              <w:t>2</w:t>
            </w:r>
          </w:p>
        </w:tc>
        <w:tc>
          <w:tcPr>
            <w:tcW w:w="1395" w:type="dxa"/>
            <w:vAlign w:val="center"/>
          </w:tcPr>
          <w:p>
            <w:pPr>
              <w:jc w:val="center"/>
              <w:rPr>
                <w:rFonts w:hint="default" w:ascii="Times New Roman" w:hAnsi="Times New Roman" w:cs="Times New Roman"/>
                <w:lang w:val="en-US"/>
              </w:rPr>
            </w:pPr>
            <w:r>
              <w:rPr>
                <w:rFonts w:hint="eastAsia" w:ascii="Times New Roman" w:hAnsi="Times New Roman" w:cs="Times New Roman"/>
                <w:color w:val="auto"/>
                <w:sz w:val="21"/>
                <w:szCs w:val="21"/>
                <w:lang w:val="en-US" w:eastAsia="zh-CN"/>
              </w:rPr>
              <w:t>不合格品</w:t>
            </w:r>
          </w:p>
        </w:tc>
        <w:tc>
          <w:tcPr>
            <w:tcW w:w="1175" w:type="dxa"/>
            <w:vAlign w:val="center"/>
          </w:tcPr>
          <w:p>
            <w:pPr>
              <w:jc w:val="center"/>
              <w:rPr>
                <w:rFonts w:hint="default" w:ascii="Times New Roman" w:hAnsi="Times New Roman" w:cs="Times New Roman"/>
              </w:rPr>
            </w:pPr>
            <w:r>
              <w:rPr>
                <w:rFonts w:hint="eastAsia" w:ascii="Times New Roman" w:hAnsi="Times New Roman" w:cs="Times New Roman"/>
                <w:color w:val="auto"/>
                <w:sz w:val="21"/>
                <w:szCs w:val="21"/>
                <w:lang w:val="en-US" w:eastAsia="zh-CN"/>
              </w:rPr>
              <w:t>机加工</w:t>
            </w:r>
          </w:p>
        </w:tc>
        <w:tc>
          <w:tcPr>
            <w:tcW w:w="107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color w:val="auto"/>
                <w:sz w:val="21"/>
                <w:szCs w:val="21"/>
              </w:rPr>
              <w:t>一般固废</w:t>
            </w:r>
          </w:p>
        </w:tc>
        <w:tc>
          <w:tcPr>
            <w:tcW w:w="1298" w:type="dxa"/>
            <w:vAlign w:val="center"/>
          </w:tcPr>
          <w:p>
            <w:pPr>
              <w:pStyle w:val="23"/>
              <w:kinsoku w:val="0"/>
              <w:overflowPunct w:val="0"/>
              <w:jc w:val="center"/>
              <w:rPr>
                <w:rFonts w:hint="default" w:ascii="Times New Roman" w:hAnsi="Times New Roman" w:cs="Times New Roman" w:eastAsiaTheme="minorEastAsia"/>
                <w:lang w:val="en-US" w:eastAsia="zh-CN"/>
              </w:rPr>
            </w:pPr>
            <w:r>
              <w:rPr>
                <w:rFonts w:hint="eastAsia" w:cs="Times New Roman"/>
                <w:lang w:val="en-US" w:eastAsia="zh-CN"/>
              </w:rPr>
              <w:t>/</w:t>
            </w:r>
          </w:p>
        </w:tc>
        <w:tc>
          <w:tcPr>
            <w:tcW w:w="871"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w:t>
            </w:r>
          </w:p>
        </w:tc>
        <w:tc>
          <w:tcPr>
            <w:tcW w:w="2053" w:type="dxa"/>
            <w:vMerge w:val="continue"/>
            <w:vAlign w:val="center"/>
          </w:tcPr>
          <w:p>
            <w:pPr>
              <w:jc w:val="center"/>
              <w:rPr>
                <w:rFonts w:hint="default" w:ascii="Times New Roman" w:hAnsi="Times New Roman"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37"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color w:val="auto"/>
                <w:sz w:val="21"/>
                <w:szCs w:val="21"/>
                <w:lang w:val="en-US" w:eastAsia="zh-CN"/>
              </w:rPr>
              <w:t>3</w:t>
            </w:r>
          </w:p>
        </w:tc>
        <w:tc>
          <w:tcPr>
            <w:tcW w:w="1395"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清洗废液</w:t>
            </w:r>
          </w:p>
        </w:tc>
        <w:tc>
          <w:tcPr>
            <w:tcW w:w="1175"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清洗</w:t>
            </w:r>
          </w:p>
        </w:tc>
        <w:tc>
          <w:tcPr>
            <w:tcW w:w="1075"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sz w:val="21"/>
                <w:szCs w:val="21"/>
                <w:lang w:val="en-US" w:eastAsia="zh-CN"/>
              </w:rPr>
              <w:t>危险废物</w:t>
            </w:r>
          </w:p>
        </w:tc>
        <w:tc>
          <w:tcPr>
            <w:tcW w:w="1298" w:type="dxa"/>
            <w:vAlign w:val="center"/>
          </w:tcPr>
          <w:p>
            <w:pPr>
              <w:pStyle w:val="23"/>
              <w:kinsoku w:val="0"/>
              <w:overflowPunct w:val="0"/>
              <w:jc w:val="center"/>
              <w:rPr>
                <w:rFonts w:hint="default" w:ascii="Times New Roman" w:hAnsi="Times New Roman" w:cs="Times New Roman"/>
                <w:lang w:val="en-US" w:eastAsia="zh-CN"/>
              </w:rPr>
            </w:pPr>
            <w:r>
              <w:rPr>
                <w:rFonts w:hint="eastAsia" w:cs="Times New Roman"/>
                <w:sz w:val="21"/>
                <w:szCs w:val="21"/>
                <w:lang w:val="en-US" w:eastAsia="zh-CN"/>
              </w:rPr>
              <w:t>900-404-06</w:t>
            </w:r>
          </w:p>
        </w:tc>
        <w:tc>
          <w:tcPr>
            <w:tcW w:w="871"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5</w:t>
            </w:r>
          </w:p>
        </w:tc>
        <w:tc>
          <w:tcPr>
            <w:tcW w:w="2053" w:type="dxa"/>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委托浙江兆山环保科技有公司进行</w:t>
            </w:r>
          </w:p>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安全处置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7"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1395" w:type="dxa"/>
            <w:vAlign w:val="center"/>
          </w:tcPr>
          <w:p>
            <w:pPr>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生活垃圾</w:t>
            </w:r>
          </w:p>
        </w:tc>
        <w:tc>
          <w:tcPr>
            <w:tcW w:w="1175" w:type="dxa"/>
            <w:vAlign w:val="center"/>
          </w:tcPr>
          <w:p>
            <w:pPr>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职工生活</w:t>
            </w:r>
          </w:p>
        </w:tc>
        <w:tc>
          <w:tcPr>
            <w:tcW w:w="107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21"/>
                <w:szCs w:val="21"/>
              </w:rPr>
              <w:t>一般固废</w:t>
            </w:r>
          </w:p>
        </w:tc>
        <w:tc>
          <w:tcPr>
            <w:tcW w:w="1298" w:type="dxa"/>
            <w:vAlign w:val="center"/>
          </w:tcPr>
          <w:p>
            <w:pPr>
              <w:pStyle w:val="23"/>
              <w:kinsoku w:val="0"/>
              <w:overflowPunct w:val="0"/>
              <w:jc w:val="center"/>
              <w:rPr>
                <w:rFonts w:hint="default" w:cs="Times New Roman"/>
                <w:lang w:val="en-US" w:eastAsia="zh-CN"/>
              </w:rPr>
            </w:pPr>
            <w:r>
              <w:rPr>
                <w:rFonts w:hint="eastAsia" w:cs="Times New Roman"/>
                <w:lang w:val="en-US" w:eastAsia="zh-CN"/>
              </w:rPr>
              <w:t>/</w:t>
            </w:r>
          </w:p>
        </w:tc>
        <w:tc>
          <w:tcPr>
            <w:tcW w:w="871"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30</w:t>
            </w:r>
          </w:p>
        </w:tc>
        <w:tc>
          <w:tcPr>
            <w:tcW w:w="2053" w:type="dxa"/>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由嘉善县智果村村委会统一清运处理</w:t>
            </w:r>
          </w:p>
        </w:tc>
      </w:tr>
    </w:tbl>
    <w:p>
      <w:pPr>
        <w:spacing w:line="360" w:lineRule="auto"/>
        <w:ind w:firstLine="480" w:firstLineChars="200"/>
        <w:rPr>
          <w:rFonts w:hint="default" w:ascii="Times New Roman" w:hAnsi="Times New Roman" w:cs="Times New Roman" w:eastAsiaTheme="minorEastAsia"/>
          <w:sz w:val="24"/>
          <w:szCs w:val="24"/>
        </w:rPr>
      </w:pP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固体废物的贮存和处置满足《一般工业固体废物贮存、处置场污染控制标准》（GB18599-2001）及修改单、《危险废物贮存污染控制标准》（GB18597-2001）及修改单、《中华人民共和国固体废物污染环境防治法》（2016年修正）和《浙江省固体废物污染环境防治条例》中的有关规定。</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9.2.5污染物总量核算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bCs/>
          <w:color w:val="auto"/>
          <w:sz w:val="24"/>
          <w:szCs w:val="24"/>
        </w:rPr>
        <w:t>本项目总量控制指标主要为</w:t>
      </w:r>
      <w:r>
        <w:rPr>
          <w:rFonts w:hint="default" w:ascii="Times New Roman" w:hAnsi="Times New Roman" w:cs="Times New Roman"/>
          <w:color w:val="auto"/>
          <w:sz w:val="24"/>
          <w:szCs w:val="24"/>
        </w:rPr>
        <w:t>COD</w:t>
      </w:r>
      <w:r>
        <w:rPr>
          <w:rFonts w:hint="default" w:ascii="Times New Roman" w:hAnsi="Times New Roman" w:cs="Times New Roman"/>
          <w:color w:val="auto"/>
          <w:sz w:val="24"/>
          <w:szCs w:val="24"/>
          <w:vertAlign w:val="subscript"/>
        </w:rPr>
        <w:t>Cr</w:t>
      </w:r>
      <w:r>
        <w:rPr>
          <w:rFonts w:hint="default" w:ascii="Times New Roman" w:hAnsi="Times New Roman" w:cs="Times New Roman"/>
          <w:color w:val="auto"/>
          <w:sz w:val="24"/>
          <w:szCs w:val="24"/>
        </w:rPr>
        <w:t>、NH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w:t>
      </w:r>
      <w:r>
        <w:rPr>
          <w:rFonts w:hint="eastAsia" w:ascii="Times New Roman" w:hAnsi="Times New Roman" w:cs="Times New Roman"/>
          <w:color w:val="auto"/>
          <w:sz w:val="24"/>
          <w:szCs w:val="24"/>
          <w:lang w:val="en-US" w:eastAsia="zh-CN"/>
        </w:rPr>
        <w:t>和VOCs</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废水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ascii="Times New Roman" w:hAnsi="Times New Roman" w:cs="Times New Roman"/>
          <w:sz w:val="24"/>
        </w:rPr>
      </w:pPr>
      <w:r>
        <w:rPr>
          <w:rFonts w:hint="eastAsia" w:ascii="Times New Roman" w:hAnsi="Times New Roman" w:cs="Times New Roman"/>
          <w:sz w:val="24"/>
          <w:szCs w:val="24"/>
          <w:lang w:val="en-US" w:eastAsia="zh-CN"/>
        </w:rPr>
        <w:t>浙江德沃轴承有限公司</w:t>
      </w:r>
      <w:r>
        <w:rPr>
          <w:rFonts w:hint="default" w:ascii="Times New Roman" w:hAnsi="Times New Roman" w:cs="Times New Roman" w:eastAsiaTheme="minorEastAsia"/>
          <w:sz w:val="24"/>
          <w:szCs w:val="24"/>
        </w:rPr>
        <w:t>的</w:t>
      </w:r>
      <w:r>
        <w:rPr>
          <w:rFonts w:hint="default" w:ascii="Times New Roman" w:hAnsi="Times New Roman" w:cs="Times New Roman"/>
          <w:sz w:val="24"/>
          <w:szCs w:val="24"/>
          <w:lang w:val="en-US" w:eastAsia="zh-CN"/>
        </w:rPr>
        <w:t>废水排放总量</w:t>
      </w:r>
      <w:r>
        <w:rPr>
          <w:rFonts w:hint="eastAsia" w:ascii="Times New Roman" w:hAnsi="Times New Roman" w:cs="Times New Roman"/>
          <w:sz w:val="24"/>
          <w:szCs w:val="24"/>
          <w:lang w:val="en-US" w:eastAsia="zh-CN"/>
        </w:rPr>
        <w:t>约</w:t>
      </w:r>
      <w:r>
        <w:rPr>
          <w:rFonts w:hint="default" w:ascii="Times New Roman" w:hAnsi="Times New Roman" w:cs="Times New Roman"/>
          <w:sz w:val="24"/>
          <w:szCs w:val="24"/>
          <w:lang w:val="en-US" w:eastAsia="zh-CN"/>
        </w:rPr>
        <w:t>为</w:t>
      </w:r>
      <w:r>
        <w:rPr>
          <w:rFonts w:hint="eastAsia" w:ascii="Times New Roman" w:hAnsi="Times New Roman" w:cs="Times New Roman"/>
          <w:sz w:val="24"/>
          <w:szCs w:val="24"/>
          <w:lang w:val="en-US" w:eastAsia="zh-CN"/>
        </w:rPr>
        <w:t>2974</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w:t>
      </w:r>
      <w:r>
        <w:rPr>
          <w:rFonts w:hint="default" w:ascii="Times New Roman" w:hAnsi="Times New Roman" w:cs="Times New Roman" w:eastAsiaTheme="minorEastAsia"/>
          <w:sz w:val="24"/>
          <w:szCs w:val="24"/>
        </w:rPr>
        <w:t>，入网废水经</w:t>
      </w:r>
      <w:r>
        <w:rPr>
          <w:rFonts w:hint="eastAsia" w:ascii="Times New Roman" w:hAnsi="Times New Roman" w:cs="Times New Roman"/>
          <w:sz w:val="24"/>
          <w:szCs w:val="24"/>
          <w:lang w:val="en-US" w:eastAsia="zh-CN"/>
        </w:rPr>
        <w:t>姚庄污水</w:t>
      </w:r>
      <w:r>
        <w:rPr>
          <w:rFonts w:hint="default" w:ascii="Times New Roman" w:hAnsi="Times New Roman" w:cs="Times New Roman" w:eastAsiaTheme="minorEastAsia"/>
          <w:sz w:val="24"/>
          <w:szCs w:val="24"/>
        </w:rPr>
        <w:t>处理</w:t>
      </w:r>
      <w:r>
        <w:rPr>
          <w:rFonts w:hint="default" w:ascii="Times New Roman" w:hAnsi="Times New Roman" w:cs="Times New Roman" w:eastAsiaTheme="minorEastAsia"/>
          <w:sz w:val="24"/>
          <w:szCs w:val="24"/>
          <w:lang w:val="en-US" w:eastAsia="zh-CN"/>
        </w:rPr>
        <w:t>厂</w:t>
      </w:r>
      <w:r>
        <w:rPr>
          <w:rFonts w:hint="default" w:ascii="Times New Roman" w:hAnsi="Times New Roman" w:cs="Times New Roman" w:eastAsiaTheme="minorEastAsia"/>
          <w:sz w:val="24"/>
          <w:szCs w:val="24"/>
        </w:rPr>
        <w:t>集中处理达标后排放</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排放</w:t>
      </w:r>
      <w:r>
        <w:rPr>
          <w:rFonts w:hint="default" w:ascii="Times New Roman" w:hAnsi="Times New Roman" w:eastAsia="宋体" w:cs="Times New Roman"/>
          <w:sz w:val="24"/>
          <w:szCs w:val="24"/>
        </w:rPr>
        <w:t>标准为COD</w:t>
      </w:r>
      <w:r>
        <w:rPr>
          <w:rFonts w:hint="default" w:ascii="Times New Roman" w:hAnsi="Times New Roman" w:eastAsia="宋体" w:cs="Times New Roman"/>
          <w:sz w:val="24"/>
          <w:szCs w:val="24"/>
          <w:vertAlign w:val="subscript"/>
        </w:rPr>
        <w:t>Cr</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50</w:t>
      </w:r>
      <w:r>
        <w:rPr>
          <w:rFonts w:hint="default" w:ascii="Times New Roman" w:hAnsi="Times New Roman" w:eastAsia="宋体" w:cs="Times New Roman"/>
          <w:sz w:val="24"/>
          <w:szCs w:val="24"/>
        </w:rPr>
        <w:t>mg/L、NH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rPr>
        <w:t>mg/L</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sz w:val="24"/>
          <w:szCs w:val="24"/>
        </w:rPr>
        <w:t>则本项目排入外环境的污染物总量分别是：COD</w:t>
      </w:r>
      <w:r>
        <w:rPr>
          <w:rFonts w:hint="default" w:ascii="Times New Roman" w:hAnsi="Times New Roman" w:cs="Times New Roman" w:eastAsiaTheme="minorEastAsia"/>
          <w:sz w:val="24"/>
          <w:szCs w:val="24"/>
          <w:vertAlign w:val="subscript"/>
        </w:rPr>
        <w:t>Cr</w:t>
      </w:r>
      <w:r>
        <w:rPr>
          <w:rFonts w:hint="default" w:ascii="Times New Roman" w:hAnsi="Times New Roman" w:cs="Times New Roman" w:eastAsiaTheme="minorEastAsia"/>
          <w:sz w:val="24"/>
          <w:szCs w:val="24"/>
        </w:rPr>
        <w:t>为</w:t>
      </w:r>
      <w:r>
        <w:rPr>
          <w:rFonts w:hint="eastAsia" w:ascii="Times New Roman" w:hAnsi="Times New Roman" w:cs="Times New Roman"/>
          <w:sz w:val="24"/>
          <w:szCs w:val="24"/>
          <w:lang w:val="en-US" w:eastAsia="zh-CN"/>
        </w:rPr>
        <w:t>0.149</w:t>
      </w:r>
      <w:r>
        <w:rPr>
          <w:rFonts w:hint="default" w:ascii="Times New Roman" w:hAnsi="Times New Roman" w:cs="Times New Roman" w:eastAsiaTheme="minorEastAsia"/>
          <w:sz w:val="24"/>
          <w:szCs w:val="24"/>
        </w:rPr>
        <w:t>t/a、NH</w:t>
      </w:r>
      <w:r>
        <w:rPr>
          <w:rFonts w:hint="default" w:ascii="Times New Roman" w:hAnsi="Times New Roman" w:cs="Times New Roman" w:eastAsiaTheme="minorEastAsia"/>
          <w:sz w:val="24"/>
          <w:szCs w:val="24"/>
          <w:vertAlign w:val="subscript"/>
        </w:rPr>
        <w:t>3</w:t>
      </w:r>
      <w:r>
        <w:rPr>
          <w:rFonts w:hint="default" w:ascii="Times New Roman" w:hAnsi="Times New Roman" w:cs="Times New Roman" w:eastAsiaTheme="minorEastAsia"/>
          <w:sz w:val="24"/>
          <w:szCs w:val="24"/>
        </w:rPr>
        <w:t>-N为0.0</w:t>
      </w:r>
      <w:r>
        <w:rPr>
          <w:rFonts w:hint="eastAsia" w:ascii="Times New Roman" w:hAnsi="Times New Roman" w:cs="Times New Roman"/>
          <w:sz w:val="24"/>
          <w:szCs w:val="24"/>
          <w:lang w:val="en-US" w:eastAsia="zh-CN"/>
        </w:rPr>
        <w:t>149</w:t>
      </w:r>
      <w:r>
        <w:rPr>
          <w:rFonts w:hint="default" w:ascii="Times New Roman" w:hAnsi="Times New Roman" w:cs="Times New Roman" w:eastAsiaTheme="minorEastAsia"/>
          <w:sz w:val="24"/>
          <w:szCs w:val="24"/>
        </w:rPr>
        <w:t>t/a。</w:t>
      </w:r>
      <w:r>
        <w:rPr>
          <w:rFonts w:ascii="Times New Roman" w:hAnsi="Times New Roman" w:cs="Times New Roman"/>
          <w:sz w:val="24"/>
        </w:rPr>
        <w:t>根据</w:t>
      </w:r>
      <w:r>
        <w:rPr>
          <w:rFonts w:hint="eastAsia" w:ascii="Times New Roman" w:hAnsi="Times New Roman" w:cs="Times New Roman"/>
          <w:sz w:val="24"/>
          <w:lang w:val="en-US" w:eastAsia="zh-CN"/>
        </w:rPr>
        <w:t>环评及批复，全厂</w:t>
      </w:r>
      <w:r>
        <w:rPr>
          <w:rFonts w:ascii="Times New Roman" w:hAnsi="Times New Roman" w:cs="Times New Roman"/>
          <w:sz w:val="24"/>
        </w:rPr>
        <w:t>COD</w:t>
      </w:r>
      <w:r>
        <w:rPr>
          <w:rFonts w:ascii="Times New Roman" w:hAnsi="Times New Roman" w:cs="Times New Roman"/>
          <w:sz w:val="24"/>
          <w:vertAlign w:val="subscript"/>
        </w:rPr>
        <w:t>Cr</w:t>
      </w:r>
      <w:r>
        <w:rPr>
          <w:rFonts w:ascii="Times New Roman" w:hAnsi="Times New Roman" w:cs="Times New Roman"/>
          <w:sz w:val="24"/>
        </w:rPr>
        <w:t>、NH</w:t>
      </w:r>
      <w:r>
        <w:rPr>
          <w:rFonts w:ascii="Times New Roman" w:hAnsi="Times New Roman" w:cs="Times New Roman"/>
          <w:sz w:val="24"/>
          <w:vertAlign w:val="subscript"/>
        </w:rPr>
        <w:t>3</w:t>
      </w:r>
      <w:r>
        <w:rPr>
          <w:rFonts w:ascii="Times New Roman" w:hAnsi="Times New Roman" w:cs="Times New Roman"/>
          <w:sz w:val="24"/>
        </w:rPr>
        <w:t>-N的总量控制指标分别为</w:t>
      </w:r>
      <w:r>
        <w:rPr>
          <w:rFonts w:hint="eastAsia" w:ascii="Times New Roman" w:hAnsi="Times New Roman" w:cs="Times New Roman"/>
          <w:sz w:val="24"/>
          <w:lang w:val="en-US" w:eastAsia="zh-CN"/>
        </w:rPr>
        <w:t>0.312</w:t>
      </w:r>
      <w:r>
        <w:rPr>
          <w:rFonts w:ascii="Times New Roman" w:hAnsi="Times New Roman" w:cs="Times New Roman"/>
          <w:sz w:val="24"/>
        </w:rPr>
        <w:t>t/a、0.</w:t>
      </w:r>
      <w:r>
        <w:rPr>
          <w:rFonts w:hint="eastAsia" w:ascii="Times New Roman" w:hAnsi="Times New Roman" w:cs="Times New Roman"/>
          <w:sz w:val="24"/>
          <w:lang w:val="en-US" w:eastAsia="zh-CN"/>
        </w:rPr>
        <w:t>0312</w:t>
      </w:r>
      <w:r>
        <w:rPr>
          <w:rFonts w:ascii="Times New Roman" w:hAnsi="Times New Roman" w:cs="Times New Roman"/>
          <w:sz w:val="24"/>
        </w:rPr>
        <w:t>t/a</w:t>
      </w:r>
      <w:r>
        <w:rPr>
          <w:rFonts w:hint="eastAsia" w:ascii="Times New Roman" w:hAnsi="Times New Roman" w:cs="Times New Roman"/>
          <w:sz w:val="24"/>
        </w:rPr>
        <w:t>，</w:t>
      </w:r>
      <w:r>
        <w:rPr>
          <w:rFonts w:ascii="Times New Roman" w:hAnsi="Times New Roman" w:cs="Times New Roman"/>
          <w:sz w:val="24"/>
        </w:rPr>
        <w:t>达到总量控制要求。</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outlineLvl w:val="9"/>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sz w:val="24"/>
          <w:szCs w:val="24"/>
          <w:lang w:val="en-US" w:eastAsia="zh-CN"/>
        </w:rPr>
        <w:t>浙江德沃轴承有限公司</w:t>
      </w:r>
      <w:r>
        <w:rPr>
          <w:rFonts w:hint="eastAsia" w:ascii="Times New Roman" w:hAnsi="Times New Roman" w:cs="Times New Roman"/>
          <w:sz w:val="24"/>
          <w:lang w:val="en-US" w:eastAsia="zh-CN"/>
        </w:rPr>
        <w:t>有机废气静电处理设施出口中</w:t>
      </w:r>
      <w:r>
        <w:rPr>
          <w:rFonts w:hint="eastAsia" w:ascii="Times New Roman" w:hAnsi="Times New Roman" w:cs="Times New Roman"/>
          <w:b w:val="0"/>
          <w:bCs w:val="0"/>
          <w:sz w:val="24"/>
          <w:szCs w:val="24"/>
          <w:lang w:val="en-US" w:eastAsia="zh-CN"/>
        </w:rPr>
        <w:t>非甲烷总烃</w:t>
      </w:r>
      <w:r>
        <w:rPr>
          <w:rFonts w:hint="default" w:ascii="Times New Roman" w:hAnsi="Times New Roman" w:cs="Times New Roman"/>
          <w:b w:val="0"/>
          <w:bCs w:val="0"/>
          <w:sz w:val="24"/>
          <w:szCs w:val="24"/>
          <w:lang w:val="en-US" w:eastAsia="zh-CN"/>
        </w:rPr>
        <w:t>的</w:t>
      </w:r>
      <w:r>
        <w:rPr>
          <w:rFonts w:hint="default" w:ascii="Times New Roman" w:hAnsi="Times New Roman" w:cs="Times New Roman"/>
          <w:b w:val="0"/>
          <w:bCs w:val="0"/>
          <w:kern w:val="0"/>
          <w:sz w:val="24"/>
          <w:szCs w:val="24"/>
          <w:vertAlign w:val="baseline"/>
          <w:lang w:val="en-US" w:eastAsia="zh-CN"/>
        </w:rPr>
        <w:t>排放速率均值为</w:t>
      </w:r>
      <w:r>
        <w:rPr>
          <w:rFonts w:hint="eastAsia" w:ascii="Times New Roman" w:hAnsi="Times New Roman" w:cs="Times New Roman"/>
          <w:b w:val="0"/>
          <w:bCs w:val="0"/>
          <w:sz w:val="24"/>
          <w:szCs w:val="24"/>
          <w:lang w:val="en-US" w:eastAsia="zh-CN"/>
        </w:rPr>
        <w:t>1.72</w:t>
      </w:r>
      <w:r>
        <w:rPr>
          <w:rFonts w:hint="default" w:ascii="Times New Roman" w:hAnsi="Times New Roman" w:eastAsia="宋体" w:cs="Times New Roman"/>
          <w:b w:val="0"/>
          <w:bCs w:val="0"/>
          <w:sz w:val="24"/>
          <w:szCs w:val="24"/>
          <w:lang w:val="en-US" w:eastAsia="zh-CN"/>
        </w:rPr>
        <w:t>×10</w:t>
      </w:r>
      <w:r>
        <w:rPr>
          <w:rFonts w:hint="eastAsia" w:ascii="Times New Roman" w:hAnsi="Times New Roman" w:eastAsia="宋体" w:cs="Times New Roman"/>
          <w:b w:val="0"/>
          <w:bCs w:val="0"/>
          <w:sz w:val="24"/>
          <w:szCs w:val="24"/>
          <w:vertAlign w:val="superscript"/>
          <w:lang w:val="en-US" w:eastAsia="zh-CN"/>
        </w:rPr>
        <w:t>-2</w:t>
      </w:r>
      <w:r>
        <w:rPr>
          <w:rFonts w:hint="default" w:ascii="Times New Roman" w:hAnsi="Times New Roman" w:cs="Times New Roman" w:eastAsiaTheme="minorEastAsia"/>
          <w:b w:val="0"/>
          <w:bCs w:val="0"/>
          <w:sz w:val="24"/>
          <w:szCs w:val="24"/>
          <w:highlight w:val="none"/>
          <w:vertAlign w:val="baseline"/>
          <w:lang w:val="en-US" w:eastAsia="zh-CN"/>
        </w:rPr>
        <w:t>kg/h</w:t>
      </w:r>
      <w:r>
        <w:rPr>
          <w:rFonts w:hint="default" w:ascii="Times New Roman" w:hAnsi="Times New Roman" w:cs="Times New Roman" w:eastAsiaTheme="minorEastAsia"/>
          <w:b w:val="0"/>
          <w:bCs w:val="0"/>
          <w:kern w:val="0"/>
          <w:sz w:val="24"/>
          <w:szCs w:val="24"/>
          <w:vertAlign w:val="baseline"/>
          <w:lang w:eastAsia="zh-CN"/>
        </w:rPr>
        <w:t>，</w:t>
      </w:r>
      <w:r>
        <w:rPr>
          <w:rFonts w:hint="eastAsia" w:ascii="Times New Roman" w:hAnsi="Times New Roman" w:cs="Times New Roman"/>
          <w:b w:val="0"/>
          <w:bCs w:val="0"/>
          <w:kern w:val="0"/>
          <w:sz w:val="24"/>
          <w:szCs w:val="24"/>
          <w:vertAlign w:val="baseline"/>
          <w:lang w:val="en-US" w:eastAsia="zh-CN"/>
        </w:rPr>
        <w:t>按年工作时间2400h计，排放总量为0.0413t/a</w:t>
      </w:r>
      <w:r>
        <w:rPr>
          <w:rFonts w:hint="eastAsia" w:ascii="Times New Roman" w:hAnsi="Times New Roman" w:cs="Times New Roman"/>
          <w:b w:val="0"/>
          <w:bCs w:val="0"/>
          <w:sz w:val="24"/>
          <w:szCs w:val="24"/>
          <w:highlight w:val="none"/>
          <w:vertAlign w:val="baseline"/>
          <w:lang w:val="en-US" w:eastAsia="zh-CN"/>
        </w:rPr>
        <w:t>。</w:t>
      </w:r>
      <w:r>
        <w:rPr>
          <w:rFonts w:hint="eastAsia" w:ascii="Times New Roman" w:hAnsi="Times New Roman" w:eastAsia="宋体" w:cs="Times New Roman"/>
          <w:color w:val="auto"/>
          <w:sz w:val="24"/>
          <w:szCs w:val="24"/>
          <w:lang w:val="en-US" w:eastAsia="zh-CN"/>
        </w:rPr>
        <w:t>本项目环评中VOCs的排放总量指标为0.144t/a，达到环评设计要求。</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outlineLvl w:val="9"/>
        <w:rPr>
          <w:rFonts w:hint="eastAsia" w:ascii="Times New Roman" w:hAnsi="Times New Roman" w:eastAsia="宋体" w:cs="Times New Roman"/>
          <w:color w:val="auto"/>
          <w:sz w:val="24"/>
          <w:szCs w:val="24"/>
          <w:lang w:val="en-US" w:eastAsia="zh-CN"/>
        </w:rPr>
      </w:pPr>
      <w:r>
        <w:rPr>
          <w:rFonts w:hint="default" w:ascii="Times New Roman" w:hAnsi="Times New Roman" w:cs="Times New Roman"/>
          <w:b/>
          <w:bCs/>
          <w:sz w:val="21"/>
          <w:szCs w:val="21"/>
          <w:lang w:val="en-US" w:eastAsia="zh-CN"/>
        </w:rPr>
        <w:t>表9-</w:t>
      </w:r>
      <w:r>
        <w:rPr>
          <w:rFonts w:hint="eastAsia" w:ascii="Times New Roman" w:hAnsi="Times New Roman" w:cs="Times New Roman"/>
          <w:b/>
          <w:bCs/>
          <w:sz w:val="21"/>
          <w:szCs w:val="21"/>
          <w:lang w:val="en-US" w:eastAsia="zh-CN"/>
        </w:rPr>
        <w:t>8</w:t>
      </w:r>
      <w:r>
        <w:rPr>
          <w:rFonts w:hint="default" w:ascii="Times New Roman" w:hAnsi="Times New Roman" w:cs="Times New Roman"/>
          <w:b/>
          <w:bCs/>
          <w:sz w:val="21"/>
          <w:szCs w:val="21"/>
          <w:lang w:val="en-US" w:eastAsia="zh-CN"/>
        </w:rPr>
        <w:t xml:space="preserve">  废</w:t>
      </w:r>
      <w:r>
        <w:rPr>
          <w:rFonts w:hint="eastAsia" w:ascii="Times New Roman" w:hAnsi="Times New Roman" w:cs="Times New Roman"/>
          <w:b/>
          <w:bCs/>
          <w:sz w:val="21"/>
          <w:szCs w:val="21"/>
          <w:lang w:val="en-US" w:eastAsia="zh-CN"/>
        </w:rPr>
        <w:t>气</w:t>
      </w:r>
      <w:r>
        <w:rPr>
          <w:rFonts w:hint="default" w:ascii="Times New Roman" w:hAnsi="Times New Roman" w:cs="Times New Roman"/>
          <w:b/>
          <w:bCs/>
          <w:sz w:val="21"/>
          <w:szCs w:val="21"/>
          <w:lang w:val="en-US" w:eastAsia="zh-CN"/>
        </w:rPr>
        <w:t>污染物总量控制计算表</w:t>
      </w:r>
    </w:p>
    <w:tbl>
      <w:tblPr>
        <w:tblStyle w:val="17"/>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391"/>
        <w:gridCol w:w="1467"/>
        <w:gridCol w:w="1107"/>
        <w:gridCol w:w="1197"/>
        <w:gridCol w:w="1257"/>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31" w:type="dxa"/>
            <w:gridSpan w:val="2"/>
            <w:noWrap w:val="0"/>
            <w:vAlign w:val="center"/>
          </w:tcPr>
          <w:p>
            <w:pPr>
              <w:widowControl/>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废气污染物名称</w:t>
            </w:r>
          </w:p>
        </w:tc>
        <w:tc>
          <w:tcPr>
            <w:tcW w:w="1467" w:type="dxa"/>
            <w:noWrap w:val="0"/>
            <w:vAlign w:val="center"/>
          </w:tcPr>
          <w:p>
            <w:pPr>
              <w:widowControl/>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排放速率</w:t>
            </w:r>
          </w:p>
        </w:tc>
        <w:tc>
          <w:tcPr>
            <w:tcW w:w="1107" w:type="dxa"/>
            <w:noWrap w:val="0"/>
            <w:vAlign w:val="center"/>
          </w:tcPr>
          <w:p>
            <w:pPr>
              <w:widowControl/>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工作时间</w:t>
            </w:r>
          </w:p>
        </w:tc>
        <w:tc>
          <w:tcPr>
            <w:tcW w:w="1197" w:type="dxa"/>
            <w:noWrap w:val="0"/>
            <w:vAlign w:val="center"/>
          </w:tcPr>
          <w:p>
            <w:pPr>
              <w:widowControl/>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本项目实际排放量</w:t>
            </w:r>
          </w:p>
        </w:tc>
        <w:tc>
          <w:tcPr>
            <w:tcW w:w="1257" w:type="dxa"/>
            <w:noWrap w:val="0"/>
            <w:vAlign w:val="center"/>
          </w:tcPr>
          <w:p>
            <w:pPr>
              <w:widowControl/>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eastAsia="zh-CN"/>
              </w:rPr>
              <w:t>环评总量设计指标</w:t>
            </w:r>
          </w:p>
        </w:tc>
        <w:tc>
          <w:tcPr>
            <w:tcW w:w="1145" w:type="dxa"/>
            <w:noWrap w:val="0"/>
            <w:vAlign w:val="center"/>
          </w:tcPr>
          <w:p>
            <w:pPr>
              <w:widowControl/>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b w:val="0"/>
                <w:bCs w:val="0"/>
                <w:color w:val="auto"/>
                <w:kern w:val="0"/>
                <w:sz w:val="21"/>
                <w:szCs w:val="21"/>
                <w:lang w:eastAsia="zh-CN"/>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40" w:type="dxa"/>
            <w:noWrap w:val="0"/>
            <w:vAlign w:val="center"/>
          </w:tcPr>
          <w:p>
            <w:pPr>
              <w:widowControl/>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VOCs</w:t>
            </w:r>
          </w:p>
        </w:tc>
        <w:tc>
          <w:tcPr>
            <w:tcW w:w="1391" w:type="dxa"/>
            <w:noWrap w:val="0"/>
            <w:vAlign w:val="center"/>
          </w:tcPr>
          <w:p>
            <w:pPr>
              <w:widowControl/>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非甲烷总烃</w:t>
            </w:r>
          </w:p>
        </w:tc>
        <w:tc>
          <w:tcPr>
            <w:tcW w:w="1467" w:type="dxa"/>
            <w:noWrap w:val="0"/>
            <w:vAlign w:val="center"/>
          </w:tcPr>
          <w:p>
            <w:pPr>
              <w:widowControl/>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 w:val="0"/>
                <w:bCs w:val="0"/>
                <w:sz w:val="21"/>
                <w:szCs w:val="21"/>
                <w:lang w:val="en-US" w:eastAsia="zh-CN"/>
              </w:rPr>
              <w:t>1.72</w:t>
            </w:r>
            <w:r>
              <w:rPr>
                <w:rFonts w:hint="default" w:ascii="Times New Roman" w:hAnsi="Times New Roman" w:eastAsia="宋体" w:cs="Times New Roman"/>
                <w:b w:val="0"/>
                <w:bCs w:val="0"/>
                <w:sz w:val="21"/>
                <w:szCs w:val="21"/>
                <w:lang w:val="en-US" w:eastAsia="zh-CN"/>
              </w:rPr>
              <w:t>×10</w:t>
            </w:r>
            <w:r>
              <w:rPr>
                <w:rFonts w:hint="eastAsia" w:ascii="Times New Roman" w:hAnsi="Times New Roman" w:eastAsia="宋体" w:cs="Times New Roman"/>
                <w:b w:val="0"/>
                <w:bCs w:val="0"/>
                <w:sz w:val="21"/>
                <w:szCs w:val="21"/>
                <w:vertAlign w:val="superscript"/>
                <w:lang w:val="en-US" w:eastAsia="zh-CN"/>
              </w:rPr>
              <w:t>-2</w:t>
            </w:r>
            <w:r>
              <w:rPr>
                <w:rFonts w:hint="default" w:ascii="Times New Roman" w:hAnsi="Times New Roman" w:cs="Times New Roman" w:eastAsiaTheme="minorEastAsia"/>
                <w:b w:val="0"/>
                <w:bCs w:val="0"/>
                <w:sz w:val="21"/>
                <w:szCs w:val="21"/>
                <w:highlight w:val="none"/>
                <w:vertAlign w:val="baseline"/>
                <w:lang w:val="en-US" w:eastAsia="zh-CN"/>
              </w:rPr>
              <w:t>k</w:t>
            </w:r>
            <w:r>
              <w:rPr>
                <w:rFonts w:hint="default" w:ascii="Times New Roman" w:hAnsi="Times New Roman" w:cs="Times New Roman" w:eastAsiaTheme="minorEastAsia"/>
                <w:sz w:val="21"/>
                <w:szCs w:val="21"/>
                <w:highlight w:val="none"/>
                <w:vertAlign w:val="baseline"/>
                <w:lang w:val="en-US" w:eastAsia="zh-CN"/>
              </w:rPr>
              <w:t>g/h</w:t>
            </w:r>
          </w:p>
        </w:tc>
        <w:tc>
          <w:tcPr>
            <w:tcW w:w="1107" w:type="dxa"/>
            <w:noWrap w:val="0"/>
            <w:vAlign w:val="center"/>
          </w:tcPr>
          <w:p>
            <w:pPr>
              <w:widowControl/>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2400</w:t>
            </w:r>
            <w:r>
              <w:rPr>
                <w:rFonts w:hint="default" w:ascii="Times New Roman" w:hAnsi="Times New Roman" w:cs="Times New Roman"/>
                <w:bCs/>
                <w:color w:val="auto"/>
                <w:sz w:val="21"/>
                <w:szCs w:val="21"/>
                <w:lang w:val="en-US" w:eastAsia="zh-CN"/>
              </w:rPr>
              <w:t>h</w:t>
            </w:r>
          </w:p>
        </w:tc>
        <w:tc>
          <w:tcPr>
            <w:tcW w:w="1197" w:type="dxa"/>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0413</w:t>
            </w:r>
            <w:r>
              <w:rPr>
                <w:rFonts w:hint="default" w:ascii="Times New Roman" w:hAnsi="Times New Roman" w:eastAsia="宋体" w:cs="Times New Roman"/>
                <w:color w:val="auto"/>
                <w:sz w:val="21"/>
                <w:szCs w:val="21"/>
                <w:lang w:val="en-US" w:eastAsia="zh-CN"/>
              </w:rPr>
              <w:t>t/a</w:t>
            </w:r>
          </w:p>
        </w:tc>
        <w:tc>
          <w:tcPr>
            <w:tcW w:w="1257" w:type="dxa"/>
            <w:noWrap w:val="0"/>
            <w:vAlign w:val="center"/>
          </w:tcPr>
          <w:p>
            <w:pPr>
              <w:widowControl/>
              <w:jc w:val="center"/>
              <w:rPr>
                <w:rFonts w:hint="default" w:ascii="Times New Roman" w:hAnsi="Times New Roman" w:cs="Times New Roman"/>
                <w:color w:val="auto"/>
                <w:kern w:val="0"/>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144</w:t>
            </w:r>
            <w:r>
              <w:rPr>
                <w:rFonts w:hint="default" w:ascii="Times New Roman" w:hAnsi="Times New Roman" w:eastAsia="宋体" w:cs="Times New Roman"/>
                <w:color w:val="auto"/>
                <w:sz w:val="21"/>
                <w:szCs w:val="21"/>
                <w:lang w:val="en-US" w:eastAsia="zh-CN"/>
              </w:rPr>
              <w:t>t/a</w:t>
            </w:r>
          </w:p>
        </w:tc>
        <w:tc>
          <w:tcPr>
            <w:tcW w:w="1145" w:type="dxa"/>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达标</w:t>
            </w:r>
          </w:p>
        </w:tc>
      </w:tr>
    </w:tbl>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cs="Times New Roman"/>
          <w:color w:val="auto"/>
          <w:sz w:val="24"/>
          <w:szCs w:val="24"/>
          <w:vertAlign w:val="baseline"/>
          <w:lang w:val="en-US" w:eastAsia="zh-CN"/>
        </w:rPr>
      </w:pPr>
    </w:p>
    <w:p>
      <w:pPr>
        <w:pStyle w:val="2"/>
        <w:pageBreakBefore w:val="0"/>
        <w:widowControl w:val="0"/>
        <w:numPr>
          <w:ilvl w:val="0"/>
          <w:numId w:val="1"/>
        </w:numPr>
        <w:kinsoku/>
        <w:wordWrap/>
        <w:overflowPunct/>
        <w:topLinePunct w:val="0"/>
        <w:autoSpaceDE/>
        <w:autoSpaceDN/>
        <w:bidi w:val="0"/>
        <w:spacing w:before="0" w:after="0" w:line="360" w:lineRule="auto"/>
        <w:ind w:left="0" w:leftChars="0" w:firstLine="0" w:firstLineChars="0"/>
        <w:textAlignment w:val="auto"/>
        <w:rPr>
          <w:rFonts w:hint="default" w:ascii="Times New Roman" w:hAnsi="Times New Roman" w:cs="Times New Roman"/>
          <w:sz w:val="24"/>
          <w:szCs w:val="24"/>
        </w:rPr>
      </w:pPr>
      <w:bookmarkStart w:id="67" w:name="_Toc6671"/>
      <w:bookmarkStart w:id="68" w:name="_Toc515273931"/>
      <w:r>
        <w:rPr>
          <w:rFonts w:hint="default" w:ascii="Times New Roman" w:hAnsi="Times New Roman" w:cs="Times New Roman"/>
          <w:sz w:val="24"/>
          <w:szCs w:val="24"/>
        </w:rPr>
        <w:t>验收监测结论</w:t>
      </w:r>
      <w:bookmarkEnd w:id="67"/>
      <w:bookmarkEnd w:id="68"/>
    </w:p>
    <w:p>
      <w:pPr>
        <w:pStyle w:val="3"/>
        <w:pageBreakBefore w:val="0"/>
        <w:widowControl w:val="0"/>
        <w:kinsoku/>
        <w:wordWrap/>
        <w:overflowPunct/>
        <w:topLinePunct w:val="0"/>
        <w:autoSpaceDE/>
        <w:autoSpaceDN/>
        <w:bidi w:val="0"/>
        <w:spacing w:before="0" w:after="0" w:line="360" w:lineRule="auto"/>
        <w:textAlignment w:val="auto"/>
        <w:rPr>
          <w:rFonts w:hint="default" w:ascii="Times New Roman" w:hAnsi="Times New Roman" w:eastAsia="宋体" w:cs="Times New Roman"/>
          <w:sz w:val="24"/>
          <w:szCs w:val="24"/>
        </w:rPr>
      </w:pPr>
      <w:bookmarkStart w:id="69" w:name="_Toc19125"/>
      <w:r>
        <w:rPr>
          <w:rFonts w:hint="default" w:ascii="Times New Roman" w:hAnsi="Times New Roman" w:eastAsia="宋体" w:cs="Times New Roman"/>
          <w:sz w:val="24"/>
          <w:szCs w:val="24"/>
        </w:rPr>
        <w:t>10.1生产工况</w:t>
      </w:r>
      <w:bookmarkEnd w:id="69"/>
    </w:p>
    <w:p>
      <w:pPr>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
          <w:bCs/>
          <w:sz w:val="24"/>
          <w:szCs w:val="24"/>
        </w:rPr>
      </w:pPr>
      <w:r>
        <w:rPr>
          <w:rFonts w:hint="default" w:ascii="Times New Roman" w:hAnsi="Times New Roman" w:cs="Times New Roman"/>
          <w:sz w:val="24"/>
          <w:szCs w:val="24"/>
          <w:lang w:val="en-US" w:eastAsia="zh-CN"/>
        </w:rPr>
        <w:t>验收</w:t>
      </w:r>
      <w:r>
        <w:rPr>
          <w:rFonts w:hint="default" w:ascii="Times New Roman" w:hAnsi="Times New Roman" w:cs="Times New Roman"/>
          <w:sz w:val="24"/>
          <w:szCs w:val="24"/>
        </w:rPr>
        <w:t>监测期间，</w:t>
      </w:r>
      <w:r>
        <w:rPr>
          <w:rFonts w:hint="eastAsia" w:ascii="Times New Roman" w:hAnsi="Times New Roman" w:cs="Times New Roman"/>
          <w:sz w:val="24"/>
          <w:szCs w:val="24"/>
          <w:lang w:val="en-US" w:eastAsia="zh-CN"/>
        </w:rPr>
        <w:t>我公司</w:t>
      </w:r>
      <w:r>
        <w:rPr>
          <w:rFonts w:hint="default" w:ascii="Times New Roman" w:hAnsi="Times New Roman" w:cs="Times New Roman"/>
          <w:sz w:val="24"/>
          <w:szCs w:val="24"/>
        </w:rPr>
        <w:t>生产正常，设施运行稳定，</w:t>
      </w:r>
      <w:r>
        <w:rPr>
          <w:rFonts w:hint="default" w:ascii="Times New Roman" w:hAnsi="Times New Roman" w:cs="Times New Roman"/>
          <w:color w:val="auto"/>
          <w:sz w:val="24"/>
          <w:szCs w:val="24"/>
        </w:rPr>
        <w:t>生产负荷</w:t>
      </w:r>
      <w:r>
        <w:rPr>
          <w:rFonts w:hint="default" w:ascii="Times New Roman" w:hAnsi="Times New Roman" w:cs="Times New Roman"/>
          <w:color w:val="auto"/>
          <w:sz w:val="24"/>
          <w:szCs w:val="24"/>
          <w:lang w:val="en-US" w:eastAsia="zh-CN"/>
        </w:rPr>
        <w:t>为</w:t>
      </w:r>
      <w:r>
        <w:rPr>
          <w:rFonts w:hint="eastAsia" w:ascii="Times New Roman" w:hAnsi="Times New Roman" w:cs="Times New Roman"/>
          <w:color w:val="auto"/>
          <w:sz w:val="24"/>
          <w:szCs w:val="24"/>
          <w:lang w:val="en-US" w:eastAsia="zh-CN"/>
        </w:rPr>
        <w:t>81.4</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t>
      </w:r>
    </w:p>
    <w:p>
      <w:pPr>
        <w:pStyle w:val="3"/>
        <w:pageBreakBefore w:val="0"/>
        <w:widowControl w:val="0"/>
        <w:kinsoku/>
        <w:wordWrap/>
        <w:overflowPunct/>
        <w:topLinePunct w:val="0"/>
        <w:autoSpaceDE/>
        <w:autoSpaceDN/>
        <w:bidi w:val="0"/>
        <w:spacing w:before="0" w:after="0" w:line="360" w:lineRule="auto"/>
        <w:textAlignment w:val="auto"/>
        <w:rPr>
          <w:rFonts w:hint="default" w:ascii="Times New Roman" w:hAnsi="Times New Roman" w:eastAsia="宋体" w:cs="Times New Roman"/>
          <w:sz w:val="24"/>
          <w:szCs w:val="24"/>
        </w:rPr>
      </w:pPr>
      <w:bookmarkStart w:id="70" w:name="_Toc515273932"/>
      <w:bookmarkStart w:id="71" w:name="_Toc18995"/>
      <w:r>
        <w:rPr>
          <w:rFonts w:hint="default" w:ascii="Times New Roman" w:hAnsi="Times New Roman" w:eastAsia="宋体" w:cs="Times New Roman"/>
          <w:sz w:val="24"/>
          <w:szCs w:val="24"/>
        </w:rPr>
        <w:t>10.2废水</w:t>
      </w:r>
      <w:bookmarkEnd w:id="70"/>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sz w:val="24"/>
          <w:szCs w:val="24"/>
        </w:rPr>
      </w:pPr>
      <w:r>
        <w:rPr>
          <w:rFonts w:hint="eastAsia" w:ascii="Times New Roman" w:hAnsi="Times New Roman" w:cs="Times New Roman"/>
          <w:sz w:val="24"/>
          <w:szCs w:val="24"/>
          <w:lang w:val="en-US" w:eastAsia="zh-CN"/>
        </w:rPr>
        <w:t>生活污水入管网口</w:t>
      </w:r>
      <w:r>
        <w:rPr>
          <w:rFonts w:hint="default" w:ascii="Times New Roman" w:hAnsi="Times New Roman" w:cs="Times New Roman"/>
          <w:sz w:val="24"/>
          <w:szCs w:val="24"/>
        </w:rPr>
        <w:t>的水质中pH、COD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、SS</w:t>
      </w:r>
      <w:r>
        <w:rPr>
          <w:rFonts w:hint="default" w:ascii="Times New Roman" w:hAnsi="Times New Roman" w:cs="Times New Roman"/>
          <w:sz w:val="24"/>
          <w:szCs w:val="24"/>
          <w:lang w:eastAsia="zh-CN"/>
        </w:rPr>
        <w:t>、</w:t>
      </w:r>
      <w:r>
        <w:rPr>
          <w:rFonts w:hint="default" w:ascii="Times New Roman" w:hAnsi="Times New Roman" w:eastAsia="宋体" w:cs="Times New Roman"/>
          <w:b w:val="0"/>
          <w:bCs/>
          <w:color w:val="auto"/>
          <w:kern w:val="0"/>
          <w:sz w:val="24"/>
          <w:szCs w:val="24"/>
          <w:lang w:val="en-US" w:eastAsia="zh-CN"/>
        </w:rPr>
        <w:t>BOD</w:t>
      </w:r>
      <w:r>
        <w:rPr>
          <w:rFonts w:hint="default" w:ascii="Times New Roman" w:hAnsi="Times New Roman" w:eastAsia="宋体" w:cs="Times New Roman"/>
          <w:b w:val="0"/>
          <w:bCs/>
          <w:color w:val="auto"/>
          <w:kern w:val="0"/>
          <w:sz w:val="24"/>
          <w:szCs w:val="24"/>
          <w:vertAlign w:val="subscript"/>
          <w:lang w:val="en-US" w:eastAsia="zh-CN"/>
        </w:rPr>
        <w:t>5</w:t>
      </w:r>
      <w:r>
        <w:rPr>
          <w:rFonts w:hint="default" w:ascii="Times New Roman" w:hAnsi="Times New Roman" w:eastAsia="宋体" w:cs="Times New Roman"/>
          <w:b w:val="0"/>
          <w:bCs/>
          <w:color w:val="auto"/>
          <w:kern w:val="0"/>
          <w:sz w:val="24"/>
          <w:szCs w:val="24"/>
          <w:vertAlign w:val="baseline"/>
          <w:lang w:val="en-US" w:eastAsia="zh-CN"/>
        </w:rPr>
        <w:t>、</w:t>
      </w:r>
      <w:r>
        <w:rPr>
          <w:rFonts w:hint="eastAsia" w:ascii="Times New Roman" w:hAnsi="Times New Roman" w:eastAsia="宋体" w:cs="Times New Roman"/>
          <w:b w:val="0"/>
          <w:bCs/>
          <w:color w:val="auto"/>
          <w:kern w:val="0"/>
          <w:sz w:val="24"/>
          <w:szCs w:val="24"/>
          <w:vertAlign w:val="baseline"/>
          <w:lang w:val="en-US" w:eastAsia="zh-CN"/>
        </w:rPr>
        <w:t>动植物油</w:t>
      </w:r>
      <w:r>
        <w:rPr>
          <w:rFonts w:hint="default" w:ascii="Times New Roman" w:hAnsi="Times New Roman" w:cs="Times New Roman"/>
          <w:sz w:val="24"/>
          <w:szCs w:val="24"/>
        </w:rPr>
        <w:t>的浓度日均值达到《污水综合排放标准》（GB8978-1996）表4中的三级标准，其中氨氮</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总磷</w:t>
      </w:r>
      <w:r>
        <w:rPr>
          <w:rFonts w:hint="default" w:ascii="Times New Roman" w:hAnsi="Times New Roman" w:cs="Times New Roman"/>
          <w:sz w:val="24"/>
          <w:szCs w:val="24"/>
        </w:rPr>
        <w:t>日均值达到《工业企业废水氮、磷污染物间接排放限值》（DB33/887-2013）的相关标准。pH、COD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、SS</w:t>
      </w:r>
      <w:r>
        <w:rPr>
          <w:rFonts w:hint="default" w:ascii="Times New Roman" w:hAnsi="Times New Roman" w:cs="Times New Roman"/>
          <w:sz w:val="24"/>
          <w:szCs w:val="24"/>
          <w:lang w:eastAsia="zh-CN"/>
        </w:rPr>
        <w:t>、</w:t>
      </w:r>
      <w:r>
        <w:rPr>
          <w:rFonts w:hint="default" w:ascii="Times New Roman" w:hAnsi="Times New Roman" w:eastAsia="宋体" w:cs="Times New Roman"/>
          <w:b w:val="0"/>
          <w:bCs/>
          <w:color w:val="auto"/>
          <w:kern w:val="0"/>
          <w:sz w:val="24"/>
          <w:szCs w:val="24"/>
          <w:lang w:val="en-US" w:eastAsia="zh-CN"/>
        </w:rPr>
        <w:t>BOD</w:t>
      </w:r>
      <w:r>
        <w:rPr>
          <w:rFonts w:hint="default" w:ascii="Times New Roman" w:hAnsi="Times New Roman" w:eastAsia="宋体" w:cs="Times New Roman"/>
          <w:b w:val="0"/>
          <w:bCs/>
          <w:color w:val="auto"/>
          <w:kern w:val="0"/>
          <w:sz w:val="24"/>
          <w:szCs w:val="24"/>
          <w:vertAlign w:val="subscript"/>
          <w:lang w:val="en-US" w:eastAsia="zh-CN"/>
        </w:rPr>
        <w:t>5</w:t>
      </w:r>
      <w:r>
        <w:rPr>
          <w:rFonts w:hint="default" w:ascii="Times New Roman" w:hAnsi="Times New Roman" w:eastAsia="宋体" w:cs="Times New Roman"/>
          <w:b w:val="0"/>
          <w:bCs/>
          <w:color w:val="auto"/>
          <w:kern w:val="0"/>
          <w:sz w:val="24"/>
          <w:szCs w:val="24"/>
          <w:vertAlign w:val="baseline"/>
          <w:lang w:val="en-US" w:eastAsia="zh-CN"/>
        </w:rPr>
        <w:t>、</w:t>
      </w:r>
      <w:r>
        <w:rPr>
          <w:rFonts w:hint="default" w:ascii="Times New Roman" w:hAnsi="Times New Roman" w:cs="Times New Roman"/>
          <w:b w:val="0"/>
          <w:bCs/>
          <w:color w:val="auto"/>
          <w:kern w:val="0"/>
          <w:sz w:val="24"/>
          <w:szCs w:val="24"/>
          <w:lang w:val="en-US" w:eastAsia="zh-CN"/>
        </w:rPr>
        <w:t>NH</w:t>
      </w:r>
      <w:r>
        <w:rPr>
          <w:rFonts w:hint="default" w:ascii="Times New Roman" w:hAnsi="Times New Roman" w:cs="Times New Roman" w:eastAsiaTheme="minorEastAsia"/>
          <w:b w:val="0"/>
          <w:bCs/>
          <w:color w:val="auto"/>
          <w:kern w:val="0"/>
          <w:sz w:val="24"/>
          <w:szCs w:val="24"/>
          <w:vertAlign w:val="subscript"/>
          <w:lang w:val="en-US" w:eastAsia="zh-CN"/>
        </w:rPr>
        <w:t>3</w:t>
      </w:r>
      <w:r>
        <w:rPr>
          <w:rFonts w:hint="default" w:ascii="Times New Roman" w:hAnsi="Times New Roman" w:cs="Times New Roman"/>
          <w:b w:val="0"/>
          <w:bCs/>
          <w:color w:val="auto"/>
          <w:kern w:val="0"/>
          <w:sz w:val="24"/>
          <w:szCs w:val="24"/>
          <w:lang w:val="en-US" w:eastAsia="zh-CN"/>
        </w:rPr>
        <w:t>-N</w:t>
      </w:r>
      <w:r>
        <w:rPr>
          <w:rFonts w:hint="eastAsia" w:ascii="Times New Roman" w:hAnsi="Times New Roman" w:cs="Times New Roman"/>
          <w:b w:val="0"/>
          <w:bCs/>
          <w:color w:val="auto"/>
          <w:kern w:val="0"/>
          <w:sz w:val="24"/>
          <w:szCs w:val="24"/>
          <w:lang w:val="en-US" w:eastAsia="zh-CN"/>
        </w:rPr>
        <w:t>、</w:t>
      </w:r>
      <w:r>
        <w:rPr>
          <w:rFonts w:hint="eastAsia" w:ascii="Times New Roman" w:hAnsi="Times New Roman" w:cs="Times New Roman"/>
          <w:sz w:val="24"/>
          <w:szCs w:val="24"/>
          <w:lang w:val="en-US" w:eastAsia="zh-CN"/>
        </w:rPr>
        <w:t>动植物油和总磷</w:t>
      </w:r>
      <w:r>
        <w:rPr>
          <w:rFonts w:hint="default" w:ascii="Times New Roman" w:hAnsi="Times New Roman" w:cs="Times New Roman"/>
          <w:sz w:val="24"/>
          <w:szCs w:val="24"/>
        </w:rPr>
        <w:t>的单项次达标率为100%</w:t>
      </w:r>
      <w:r>
        <w:rPr>
          <w:rFonts w:hint="default" w:ascii="Times New Roman" w:hAnsi="Times New Roman" w:cs="Times New Roman"/>
          <w:sz w:val="24"/>
          <w:szCs w:val="24"/>
          <w:lang w:eastAsia="zh-CN"/>
        </w:rPr>
        <w:t>。</w:t>
      </w:r>
    </w:p>
    <w:p>
      <w:pPr>
        <w:pStyle w:val="3"/>
        <w:spacing w:before="0" w:after="0" w:line="360" w:lineRule="auto"/>
        <w:rPr>
          <w:rFonts w:hint="default" w:ascii="Times New Roman" w:hAnsi="Times New Roman" w:eastAsia="宋体" w:cs="Times New Roman"/>
          <w:sz w:val="24"/>
          <w:szCs w:val="24"/>
        </w:rPr>
      </w:pPr>
      <w:bookmarkStart w:id="72" w:name="_Toc515273933"/>
      <w:bookmarkStart w:id="73" w:name="_Toc27092"/>
      <w:r>
        <w:rPr>
          <w:rFonts w:hint="default" w:ascii="Times New Roman" w:hAnsi="Times New Roman" w:eastAsia="宋体" w:cs="Times New Roman"/>
          <w:sz w:val="24"/>
          <w:szCs w:val="24"/>
        </w:rPr>
        <w:t>10.3废气</w:t>
      </w:r>
      <w:bookmarkEnd w:id="72"/>
      <w:bookmarkEnd w:id="73"/>
    </w:p>
    <w:p>
      <w:pPr>
        <w:numPr>
          <w:ilvl w:val="0"/>
          <w:numId w:val="0"/>
        </w:numPr>
        <w:spacing w:line="360" w:lineRule="auto"/>
        <w:ind w:firstLine="480" w:firstLineChars="200"/>
        <w:rPr>
          <w:rFonts w:hint="eastAsia" w:ascii="Times New Roman" w:hAnsi="Times New Roman" w:cs="Times New Roman"/>
          <w:color w:val="auto"/>
          <w:sz w:val="24"/>
          <w:szCs w:val="24"/>
          <w:lang w:val="en-US" w:eastAsia="zh-CN"/>
        </w:rPr>
      </w:pPr>
      <w:bookmarkStart w:id="74" w:name="_Toc515273934"/>
      <w:r>
        <w:rPr>
          <w:rFonts w:hint="eastAsia"/>
          <w:sz w:val="24"/>
          <w:szCs w:val="24"/>
          <w:lang w:val="en-US" w:eastAsia="zh-CN"/>
        </w:rPr>
        <w:t>回火工序产生的有机废气经收集后，再由静电装置处理，尾气通过</w:t>
      </w:r>
      <w:r>
        <w:rPr>
          <w:rFonts w:hint="eastAsia"/>
          <w:sz w:val="24"/>
          <w:szCs w:val="24"/>
          <w:lang w:val="en-US" w:eastAsia="zh-CN"/>
        </w:rPr>
        <w:tab/>
      </w:r>
      <w:r>
        <w:rPr>
          <w:rFonts w:hint="default" w:ascii="Times New Roman" w:hAnsi="Times New Roman" w:cs="Times New Roman"/>
          <w:sz w:val="24"/>
          <w:szCs w:val="24"/>
          <w:lang w:val="en-US" w:eastAsia="zh-CN"/>
        </w:rPr>
        <w:t>15m</w:t>
      </w:r>
      <w:r>
        <w:rPr>
          <w:rFonts w:hint="eastAsia"/>
          <w:sz w:val="24"/>
          <w:szCs w:val="24"/>
          <w:lang w:val="en-US" w:eastAsia="zh-CN"/>
        </w:rPr>
        <w:t>高排气筒排放。非甲烷总烃的排放浓度及排放速率达到</w:t>
      </w:r>
      <w:r>
        <w:rPr>
          <w:rFonts w:hint="default" w:ascii="Times New Roman" w:hAnsi="Times New Roman" w:cs="Times New Roman"/>
          <w:color w:val="auto"/>
          <w:sz w:val="24"/>
          <w:szCs w:val="24"/>
        </w:rPr>
        <w:t>《</w:t>
      </w:r>
      <w:r>
        <w:rPr>
          <w:rFonts w:hint="default" w:ascii="Times New Roman" w:hAnsi="Times New Roman" w:cs="Times New Roman"/>
          <w:sz w:val="24"/>
          <w:szCs w:val="24"/>
        </w:rPr>
        <w:t>大气污染物综合排放标准》（GB16297-1996）</w:t>
      </w:r>
      <w:r>
        <w:rPr>
          <w:rFonts w:hint="default" w:ascii="Times New Roman" w:hAnsi="Times New Roman" w:cs="Times New Roman"/>
          <w:color w:val="auto"/>
          <w:sz w:val="24"/>
          <w:szCs w:val="24"/>
        </w:rPr>
        <w:t>表2中</w:t>
      </w:r>
      <w:r>
        <w:rPr>
          <w:rFonts w:hint="eastAsia" w:ascii="Times New Roman" w:hAnsi="Times New Roman" w:cs="Times New Roman"/>
          <w:color w:val="auto"/>
          <w:sz w:val="24"/>
          <w:szCs w:val="24"/>
          <w:lang w:val="en-US" w:eastAsia="zh-CN"/>
        </w:rPr>
        <w:t>的二级标准。</w:t>
      </w:r>
    </w:p>
    <w:p>
      <w:pPr>
        <w:numPr>
          <w:ilvl w:val="0"/>
          <w:numId w:val="0"/>
        </w:num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非甲烷总烃</w:t>
      </w:r>
      <w:r>
        <w:rPr>
          <w:rFonts w:hint="default" w:ascii="Times New Roman" w:hAnsi="Times New Roman" w:cs="Times New Roman"/>
          <w:color w:val="auto"/>
          <w:sz w:val="24"/>
          <w:szCs w:val="24"/>
          <w:lang w:val="en-US" w:eastAsia="zh-CN"/>
        </w:rPr>
        <w:t>的无组织排放监控浓度值（周界外浓度最高点）</w:t>
      </w:r>
      <w:r>
        <w:rPr>
          <w:rFonts w:hint="default" w:ascii="Times New Roman" w:hAnsi="Times New Roman" w:cs="Times New Roman"/>
          <w:color w:val="auto"/>
          <w:sz w:val="24"/>
          <w:szCs w:val="24"/>
        </w:rPr>
        <w:t>低于《</w:t>
      </w:r>
      <w:r>
        <w:rPr>
          <w:rFonts w:hint="default" w:ascii="Times New Roman" w:hAnsi="Times New Roman" w:cs="Times New Roman"/>
          <w:sz w:val="24"/>
          <w:szCs w:val="24"/>
        </w:rPr>
        <w:t>大气污染物综合排放标准》（GB16297-1996）</w:t>
      </w:r>
      <w:r>
        <w:rPr>
          <w:rFonts w:hint="default" w:ascii="Times New Roman" w:hAnsi="Times New Roman" w:cs="Times New Roman"/>
          <w:color w:val="auto"/>
          <w:sz w:val="24"/>
          <w:szCs w:val="24"/>
        </w:rPr>
        <w:t>表2中的</w:t>
      </w:r>
      <w:r>
        <w:rPr>
          <w:rFonts w:hint="default" w:ascii="Times New Roman" w:hAnsi="Times New Roman" w:cs="Times New Roman"/>
          <w:color w:val="auto"/>
          <w:sz w:val="24"/>
          <w:szCs w:val="24"/>
          <w:lang w:val="en-US" w:eastAsia="zh-CN"/>
        </w:rPr>
        <w:t>无组织排放浓度监控限值。</w:t>
      </w:r>
    </w:p>
    <w:p>
      <w:pPr>
        <w:pStyle w:val="3"/>
        <w:spacing w:before="0" w:after="0" w:line="360" w:lineRule="auto"/>
        <w:rPr>
          <w:rFonts w:hint="default" w:ascii="Times New Roman" w:hAnsi="Times New Roman" w:eastAsia="宋体" w:cs="Times New Roman"/>
          <w:sz w:val="24"/>
          <w:szCs w:val="24"/>
        </w:rPr>
      </w:pPr>
      <w:bookmarkStart w:id="75" w:name="_Toc31060"/>
      <w:r>
        <w:rPr>
          <w:rFonts w:hint="default" w:ascii="Times New Roman" w:hAnsi="Times New Roman" w:eastAsia="宋体" w:cs="Times New Roman"/>
          <w:sz w:val="24"/>
          <w:szCs w:val="24"/>
        </w:rPr>
        <w:t>10.4噪声</w:t>
      </w:r>
      <w:bookmarkEnd w:id="74"/>
      <w:bookmarkEnd w:id="75"/>
    </w:p>
    <w:p>
      <w:pPr>
        <w:spacing w:line="360" w:lineRule="auto"/>
        <w:ind w:firstLine="480" w:firstLineChars="200"/>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sz w:val="24"/>
          <w:szCs w:val="24"/>
          <w:lang w:val="en-US" w:eastAsia="zh-CN"/>
        </w:rPr>
        <w:t>东、西、北</w:t>
      </w:r>
      <w:r>
        <w:rPr>
          <w:rFonts w:hint="default" w:ascii="Times New Roman" w:hAnsi="Times New Roman" w:cs="Times New Roman" w:eastAsiaTheme="minorEastAsia"/>
          <w:sz w:val="24"/>
          <w:szCs w:val="24"/>
        </w:rPr>
        <w:t>厂界昼间噪声均达到《工业企业厂界环境噪声排放标准》（GB12348-2008）中的3类区标准</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南厂界昼间噪声</w:t>
      </w:r>
      <w:r>
        <w:rPr>
          <w:rFonts w:hint="default" w:ascii="Times New Roman" w:hAnsi="Times New Roman" w:cs="Times New Roman" w:eastAsiaTheme="minorEastAsia"/>
          <w:sz w:val="24"/>
          <w:szCs w:val="24"/>
        </w:rPr>
        <w:t>达到《工业企业厂界环境噪声排放标准》（GB12348-2008）中的</w:t>
      </w:r>
      <w:r>
        <w:rPr>
          <w:rFonts w:hint="eastAsia" w:ascii="Times New Roman" w:hAnsi="Times New Roman" w:cs="Times New Roman"/>
          <w:sz w:val="24"/>
          <w:szCs w:val="24"/>
          <w:lang w:val="en-US" w:eastAsia="zh-CN"/>
        </w:rPr>
        <w:t>4</w:t>
      </w:r>
      <w:r>
        <w:rPr>
          <w:rFonts w:hint="default" w:ascii="Times New Roman" w:hAnsi="Times New Roman" w:cs="Times New Roman" w:eastAsiaTheme="minorEastAsia"/>
          <w:sz w:val="24"/>
          <w:szCs w:val="24"/>
        </w:rPr>
        <w:t>类区标准</w:t>
      </w:r>
      <w:r>
        <w:rPr>
          <w:rFonts w:hint="eastAsia" w:ascii="Times New Roman" w:hAnsi="Times New Roman" w:cs="Times New Roman"/>
          <w:sz w:val="24"/>
          <w:szCs w:val="24"/>
          <w:lang w:eastAsia="zh-CN"/>
        </w:rPr>
        <w:t>。</w:t>
      </w:r>
    </w:p>
    <w:p>
      <w:pPr>
        <w:pStyle w:val="3"/>
        <w:spacing w:before="0" w:after="0" w:line="360" w:lineRule="auto"/>
        <w:rPr>
          <w:rFonts w:hint="default" w:ascii="Times New Roman" w:hAnsi="Times New Roman" w:eastAsia="宋体" w:cs="Times New Roman"/>
          <w:sz w:val="24"/>
          <w:szCs w:val="24"/>
        </w:rPr>
      </w:pPr>
      <w:bookmarkStart w:id="76" w:name="_Toc515273935"/>
      <w:bookmarkStart w:id="77" w:name="_Toc26018"/>
      <w:r>
        <w:rPr>
          <w:rFonts w:hint="default" w:ascii="Times New Roman" w:hAnsi="Times New Roman" w:eastAsia="宋体" w:cs="Times New Roman"/>
          <w:sz w:val="24"/>
          <w:szCs w:val="24"/>
        </w:rPr>
        <w:t>10.5固体废弃物</w:t>
      </w:r>
      <w:bookmarkEnd w:id="76"/>
      <w:bookmarkEnd w:id="77"/>
    </w:p>
    <w:p>
      <w:pPr>
        <w:spacing w:line="360" w:lineRule="auto"/>
        <w:ind w:firstLine="480" w:firstLineChars="200"/>
        <w:rPr>
          <w:rFonts w:hint="eastAsia" w:ascii="Times New Roman" w:hAnsi="Times New Roman" w:cs="Times New Roman"/>
          <w:color w:val="00B0F0"/>
          <w:sz w:val="24"/>
          <w:szCs w:val="24"/>
          <w:lang w:val="en-US" w:eastAsia="zh-CN"/>
        </w:rPr>
      </w:pPr>
      <w:bookmarkStart w:id="78" w:name="_Toc515011450"/>
      <w:r>
        <w:rPr>
          <w:rFonts w:hint="eastAsia" w:ascii="Times New Roman" w:hAnsi="Times New Roman" w:cs="Times New Roman"/>
          <w:color w:val="auto"/>
          <w:sz w:val="24"/>
          <w:szCs w:val="24"/>
          <w:lang w:val="en-US" w:eastAsia="zh-CN"/>
        </w:rPr>
        <w:t>边角料、不合格品经收集后外卖综合利用。</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清洗废液（废物代码900-404-06）委托浙江兆山环保科技有限公司进行安全处置进。</w:t>
      </w:r>
    </w:p>
    <w:p>
      <w:pPr>
        <w:spacing w:line="360" w:lineRule="auto"/>
        <w:ind w:firstLine="480" w:firstLineChars="2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生活垃圾由嘉善县智果村村委会统一清运处理会统一清运处理。</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固体废物的贮存和处置满足《一般工业固体废物贮存、处置场污染控制标准》（GB18599-2001）及修改单、《危险废物贮存污染控制标准》（GB18597-2001）及修改单、《中华人民共和国固体废物污染环境防治法》（2016年修正）和《浙江省固体废物污染环境防治条例》中的有关规定。</w:t>
      </w:r>
    </w:p>
    <w:p>
      <w:pPr>
        <w:spacing w:line="360" w:lineRule="auto"/>
        <w:ind w:firstLine="480" w:firstLineChars="200"/>
        <w:rPr>
          <w:rFonts w:hint="eastAsia" w:ascii="Times New Roman" w:hAnsi="Times New Roman" w:cs="Times New Roman"/>
          <w:sz w:val="24"/>
          <w:szCs w:val="24"/>
          <w:lang w:val="en-US" w:eastAsia="zh-CN"/>
        </w:rPr>
      </w:pPr>
    </w:p>
    <w:p>
      <w:pPr>
        <w:pStyle w:val="3"/>
        <w:spacing w:before="0" w:after="0" w:line="360" w:lineRule="auto"/>
        <w:rPr>
          <w:rFonts w:hint="default" w:ascii="Times New Roman" w:hAnsi="Times New Roman" w:eastAsia="宋体" w:cs="Times New Roman"/>
          <w:sz w:val="24"/>
          <w:szCs w:val="24"/>
        </w:rPr>
      </w:pPr>
      <w:bookmarkStart w:id="79" w:name="_Toc24190"/>
      <w:r>
        <w:rPr>
          <w:rFonts w:hint="default" w:ascii="Times New Roman" w:hAnsi="Times New Roman" w:eastAsia="宋体" w:cs="Times New Roman"/>
          <w:sz w:val="24"/>
          <w:szCs w:val="24"/>
        </w:rPr>
        <w:t>10.6总量控制</w:t>
      </w:r>
      <w:bookmarkEnd w:id="78"/>
      <w:bookmarkEnd w:id="79"/>
    </w:p>
    <w:p>
      <w:pPr>
        <w:spacing w:line="360" w:lineRule="auto"/>
        <w:ind w:firstLine="480" w:firstLineChars="200"/>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rPr>
        <w:t>总量控制指标COD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VOCs</w:t>
      </w:r>
      <w:r>
        <w:rPr>
          <w:rFonts w:hint="default" w:ascii="Times New Roman" w:hAnsi="Times New Roman" w:eastAsia="宋体" w:cs="Times New Roman"/>
          <w:color w:val="auto"/>
          <w:sz w:val="24"/>
          <w:szCs w:val="24"/>
        </w:rPr>
        <w:t>的</w:t>
      </w:r>
      <w:r>
        <w:rPr>
          <w:rFonts w:hint="default" w:ascii="Times New Roman" w:hAnsi="Times New Roman" w:eastAsia="宋体" w:cs="Times New Roman"/>
          <w:color w:val="auto"/>
          <w:sz w:val="24"/>
          <w:szCs w:val="24"/>
          <w:lang w:val="en-US" w:eastAsia="zh-CN"/>
        </w:rPr>
        <w:t>排放</w:t>
      </w:r>
      <w:r>
        <w:rPr>
          <w:rFonts w:hint="default" w:ascii="Times New Roman" w:hAnsi="Times New Roman" w:eastAsia="宋体" w:cs="Times New Roman"/>
          <w:color w:val="auto"/>
          <w:sz w:val="24"/>
          <w:szCs w:val="24"/>
        </w:rPr>
        <w:t>总量</w:t>
      </w:r>
      <w:r>
        <w:rPr>
          <w:rFonts w:hint="default" w:ascii="Times New Roman" w:hAnsi="Times New Roman" w:eastAsia="宋体" w:cs="Times New Roman"/>
          <w:color w:val="auto"/>
          <w:sz w:val="24"/>
          <w:szCs w:val="24"/>
          <w:lang w:val="en-US" w:eastAsia="zh-CN"/>
        </w:rPr>
        <w:t>分别为</w:t>
      </w:r>
      <w:r>
        <w:rPr>
          <w:rFonts w:hint="eastAsia" w:ascii="Times New Roman" w:hAnsi="Times New Roman" w:cs="Times New Roman"/>
          <w:sz w:val="24"/>
          <w:lang w:val="en-US" w:eastAsia="zh-CN"/>
        </w:rPr>
        <w:t>0.149</w:t>
      </w:r>
      <w:r>
        <w:rPr>
          <w:rFonts w:ascii="Times New Roman" w:hAnsi="Times New Roman" w:cs="Times New Roman"/>
          <w:sz w:val="24"/>
        </w:rPr>
        <w:t>t/a、0.</w:t>
      </w:r>
      <w:r>
        <w:rPr>
          <w:rFonts w:hint="eastAsia" w:ascii="Times New Roman" w:hAnsi="Times New Roman" w:cs="Times New Roman"/>
          <w:sz w:val="24"/>
          <w:lang w:val="en-US" w:eastAsia="zh-CN"/>
        </w:rPr>
        <w:t>0149</w:t>
      </w:r>
      <w:r>
        <w:rPr>
          <w:rFonts w:ascii="Times New Roman" w:hAnsi="Times New Roman" w:cs="Times New Roman"/>
          <w:sz w:val="24"/>
        </w:rPr>
        <w:t>t/a</w:t>
      </w:r>
      <w:r>
        <w:rPr>
          <w:rFonts w:hint="eastAsia" w:ascii="Times New Roman" w:hAnsi="Times New Roman" w:cs="Times New Roman"/>
          <w:sz w:val="24"/>
          <w:lang w:val="en-US" w:eastAsia="zh-CN"/>
        </w:rPr>
        <w:t>和0.0413t/a</w:t>
      </w:r>
      <w:r>
        <w:rPr>
          <w:rFonts w:hint="eastAsia" w:ascii="Times New Roman" w:hAnsi="Times New Roman" w:cs="Times New Roman"/>
          <w:color w:val="auto"/>
          <w:sz w:val="24"/>
          <w:lang w:val="en-US" w:eastAsia="zh-CN"/>
        </w:rPr>
        <w:t>，</w:t>
      </w:r>
      <w:r>
        <w:rPr>
          <w:rFonts w:hint="default" w:ascii="Times New Roman" w:hAnsi="Times New Roman" w:eastAsia="宋体" w:cs="Times New Roman"/>
          <w:color w:val="auto"/>
          <w:sz w:val="24"/>
          <w:szCs w:val="24"/>
        </w:rPr>
        <w:t>均达到总量控制要求</w:t>
      </w:r>
      <w:r>
        <w:rPr>
          <w:rFonts w:hint="default" w:ascii="Times New Roman" w:hAnsi="Times New Roman" w:eastAsia="宋体" w:cs="Times New Roman"/>
          <w:color w:val="auto"/>
          <w:sz w:val="24"/>
          <w:szCs w:val="24"/>
          <w:lang w:eastAsia="zh-CN"/>
        </w:rPr>
        <w:t>。</w:t>
      </w:r>
    </w:p>
    <w:p>
      <w:pPr>
        <w:spacing w:line="360" w:lineRule="auto"/>
        <w:rPr>
          <w:rFonts w:hint="default" w:ascii="Times New Roman" w:hAnsi="Times New Roman" w:eastAsia="宋体" w:cs="Times New Roman"/>
          <w:sz w:val="24"/>
          <w:szCs w:val="24"/>
          <w:lang w:eastAsia="zh-CN"/>
        </w:rPr>
        <w:sectPr>
          <w:head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jc w:val="center"/>
        <w:rPr>
          <w:rFonts w:hint="default" w:ascii="Times New Roman" w:hAnsi="Times New Roman" w:eastAsia="黑体" w:cs="Times New Roman"/>
          <w:b/>
        </w:rPr>
      </w:pPr>
      <w:r>
        <w:rPr>
          <w:rFonts w:hint="default" w:ascii="Times New Roman" w:hAnsi="Times New Roman" w:eastAsia="黑体" w:cs="Times New Roman"/>
          <w:b/>
        </w:rPr>
        <w:t>建设项目竣工环境保护“三同时”验收登记表</w:t>
      </w:r>
    </w:p>
    <w:p>
      <w:pPr>
        <w:rPr>
          <w:rFonts w:hint="default" w:ascii="Times New Roman" w:hAnsi="Times New Roman" w:cs="Times New Roman"/>
          <w:b/>
        </w:rPr>
      </w:pPr>
      <w:r>
        <w:rPr>
          <w:rFonts w:hint="default" w:ascii="Times New Roman" w:hAnsi="Times New Roman" w:cs="Times New Roman"/>
          <w:b/>
        </w:rPr>
        <w:t>填表单位（盖章）</w:t>
      </w:r>
      <w:r>
        <w:rPr>
          <w:rFonts w:hint="eastAsia" w:ascii="Times New Roman" w:hAnsi="Times New Roman" w:cs="Times New Roman"/>
          <w:b/>
          <w:lang w:eastAsia="zh-CN"/>
        </w:rPr>
        <w:t>：</w:t>
      </w:r>
      <w:r>
        <w:rPr>
          <w:rFonts w:hint="eastAsia" w:ascii="Times New Roman" w:hAnsi="Times New Roman" w:cs="Times New Roman"/>
          <w:b/>
          <w:lang w:val="en-US" w:eastAsia="zh-CN"/>
        </w:rPr>
        <w:t>浙江德沃轴承有限公司</w:t>
      </w:r>
      <w:r>
        <w:rPr>
          <w:rFonts w:hint="default" w:ascii="Times New Roman" w:hAnsi="Times New Roman" w:cs="Times New Roman"/>
          <w:b/>
        </w:rPr>
        <w:t xml:space="preserve">                 </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w:t>
      </w:r>
      <w:r>
        <w:rPr>
          <w:rFonts w:hint="default" w:ascii="Times New Roman" w:hAnsi="Times New Roman" w:cs="Times New Roman"/>
          <w:b/>
          <w:lang w:val="en-US" w:eastAsia="zh-CN"/>
        </w:rPr>
        <w:t xml:space="preserve">  </w:t>
      </w:r>
      <w:r>
        <w:rPr>
          <w:rFonts w:hint="eastAsia" w:ascii="Times New Roman" w:hAnsi="Times New Roman" w:cs="Times New Roman"/>
          <w:b/>
          <w:lang w:val="en-US" w:eastAsia="zh-CN"/>
        </w:rPr>
        <w:t xml:space="preserve">   </w:t>
      </w:r>
      <w:r>
        <w:rPr>
          <w:rFonts w:hint="default" w:ascii="Times New Roman" w:hAnsi="Times New Roman" w:cs="Times New Roman"/>
          <w:b/>
          <w:lang w:val="en-US" w:eastAsia="zh-CN"/>
        </w:rPr>
        <w:t xml:space="preserve"> </w:t>
      </w:r>
      <w:r>
        <w:rPr>
          <w:rFonts w:hint="default" w:ascii="Times New Roman" w:hAnsi="Times New Roman" w:cs="Times New Roman"/>
          <w:b/>
        </w:rPr>
        <w:t>填表人（签字）：                              项目经办人（签字）：</w:t>
      </w:r>
    </w:p>
    <w:tbl>
      <w:tblPr>
        <w:tblStyle w:val="16"/>
        <w:tblW w:w="15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178"/>
        <w:gridCol w:w="618"/>
        <w:gridCol w:w="828"/>
        <w:gridCol w:w="1201"/>
        <w:gridCol w:w="887"/>
        <w:gridCol w:w="988"/>
        <w:gridCol w:w="448"/>
        <w:gridCol w:w="720"/>
        <w:gridCol w:w="900"/>
        <w:gridCol w:w="1065"/>
        <w:gridCol w:w="2034"/>
        <w:gridCol w:w="112"/>
        <w:gridCol w:w="929"/>
        <w:gridCol w:w="634"/>
        <w:gridCol w:w="429"/>
        <w:gridCol w:w="496"/>
        <w:gridCol w:w="536"/>
        <w:gridCol w:w="13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430" w:type="dxa"/>
            <w:vMerge w:val="restart"/>
            <w:tcMar>
              <w:left w:w="57" w:type="dxa"/>
              <w:right w:w="57" w:type="dxa"/>
            </w:tcMar>
            <w:textDirection w:val="tbRlV"/>
            <w:vAlign w:val="center"/>
          </w:tcPr>
          <w:p>
            <w:pPr>
              <w:spacing w:line="240" w:lineRule="exact"/>
              <w:ind w:left="113" w:right="113"/>
              <w:jc w:val="center"/>
              <w:rPr>
                <w:rFonts w:hint="default" w:ascii="Times New Roman" w:hAnsi="Times New Roman" w:cs="Times New Roman"/>
                <w:b/>
                <w:sz w:val="15"/>
                <w:szCs w:val="15"/>
              </w:rPr>
            </w:pPr>
            <w:r>
              <w:rPr>
                <w:rFonts w:hint="default" w:ascii="Times New Roman" w:hAnsi="Times New Roman" w:cs="Times New Roman"/>
                <w:b/>
                <w:sz w:val="15"/>
                <w:szCs w:val="15"/>
              </w:rPr>
              <w:t>建设项目</w:t>
            </w:r>
          </w:p>
        </w:tc>
        <w:tc>
          <w:tcPr>
            <w:tcW w:w="1964"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项目名称</w:t>
            </w:r>
          </w:p>
        </w:tc>
        <w:tc>
          <w:tcPr>
            <w:tcW w:w="5072" w:type="dxa"/>
            <w:gridSpan w:val="6"/>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浙江德沃轴承有限公司新建年产P1级、直径60毫米以上滚动轴承500万套/件生产项目</w:t>
            </w:r>
          </w:p>
        </w:tc>
        <w:tc>
          <w:tcPr>
            <w:tcW w:w="1965" w:type="dxa"/>
            <w:gridSpan w:val="2"/>
            <w:tcMar>
              <w:left w:w="57" w:type="dxa"/>
              <w:right w:w="57" w:type="dxa"/>
            </w:tcMar>
            <w:vAlign w:val="center"/>
          </w:tcPr>
          <w:p>
            <w:pPr>
              <w:spacing w:line="240" w:lineRule="exact"/>
              <w:rPr>
                <w:rFonts w:hint="default" w:ascii="Times New Roman" w:hAnsi="Times New Roman" w:cs="Times New Roman"/>
                <w:b/>
                <w:color w:val="FF0000"/>
                <w:sz w:val="15"/>
                <w:szCs w:val="15"/>
              </w:rPr>
            </w:pPr>
            <w:r>
              <w:rPr>
                <w:rFonts w:hint="default" w:ascii="Times New Roman" w:hAnsi="Times New Roman" w:cs="Times New Roman"/>
                <w:b/>
                <w:color w:val="auto"/>
                <w:sz w:val="15"/>
                <w:szCs w:val="15"/>
              </w:rPr>
              <w:t>项目代码</w:t>
            </w:r>
          </w:p>
        </w:tc>
        <w:tc>
          <w:tcPr>
            <w:tcW w:w="2146" w:type="dxa"/>
            <w:gridSpan w:val="2"/>
            <w:tcMar>
              <w:left w:w="57" w:type="dxa"/>
              <w:right w:w="57" w:type="dxa"/>
            </w:tcMar>
            <w:vAlign w:val="center"/>
          </w:tcPr>
          <w:p>
            <w:pPr>
              <w:spacing w:line="240" w:lineRule="exact"/>
              <w:rPr>
                <w:rFonts w:hint="default" w:ascii="Times New Roman" w:hAnsi="Times New Roman" w:cs="Times New Roman" w:eastAsiaTheme="minorEastAsia"/>
                <w:b/>
                <w:color w:val="FF0000"/>
                <w:sz w:val="15"/>
                <w:szCs w:val="15"/>
                <w:lang w:val="en-US" w:eastAsia="zh-CN"/>
              </w:rPr>
            </w:pPr>
          </w:p>
        </w:tc>
        <w:tc>
          <w:tcPr>
            <w:tcW w:w="1563"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建设地点</w:t>
            </w:r>
          </w:p>
        </w:tc>
        <w:tc>
          <w:tcPr>
            <w:tcW w:w="2784" w:type="dxa"/>
            <w:gridSpan w:val="4"/>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嘉善县魏塘街道振中路88号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行业类别（分类管理名录）</w:t>
            </w:r>
          </w:p>
        </w:tc>
        <w:tc>
          <w:tcPr>
            <w:tcW w:w="5072" w:type="dxa"/>
            <w:gridSpan w:val="6"/>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70 专用设备制造及维修</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建设性质</w:t>
            </w:r>
          </w:p>
        </w:tc>
        <w:tc>
          <w:tcPr>
            <w:tcW w:w="3709" w:type="dxa"/>
            <w:gridSpan w:val="4"/>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sym w:font="Wingdings 2" w:char="0052"/>
            </w:r>
            <w:r>
              <w:rPr>
                <w:rFonts w:hint="default" w:ascii="Times New Roman" w:hAnsi="Times New Roman" w:cs="Times New Roman"/>
                <w:b/>
                <w:sz w:val="15"/>
                <w:szCs w:val="15"/>
              </w:rPr>
              <w:t xml:space="preserve">新建   </w:t>
            </w:r>
            <w:r>
              <w:rPr>
                <w:rFonts w:hint="default" w:ascii="Times New Roman" w:hAnsi="Times New Roman" w:cs="Times New Roman"/>
                <w:b/>
                <w:sz w:val="15"/>
                <w:szCs w:val="15"/>
              </w:rPr>
              <w:sym w:font="Wingdings 2" w:char="00A3"/>
            </w:r>
            <w:r>
              <w:rPr>
                <w:rFonts w:hint="eastAsia" w:ascii="Times New Roman" w:hAnsi="Times New Roman" w:cs="Times New Roman"/>
                <w:b/>
                <w:sz w:val="15"/>
                <w:szCs w:val="15"/>
                <w:lang w:val="en-US" w:eastAsia="zh-CN"/>
              </w:rPr>
              <w:t>改扩建</w:t>
            </w:r>
            <w:r>
              <w:rPr>
                <w:rFonts w:hint="default" w:ascii="Times New Roman" w:hAnsi="Times New Roman" w:cs="Times New Roman"/>
                <w:b/>
                <w:sz w:val="15"/>
                <w:szCs w:val="15"/>
              </w:rPr>
              <w:t xml:space="preserve">  </w:t>
            </w:r>
            <w:r>
              <w:rPr>
                <w:rFonts w:hint="default" w:ascii="Times New Roman" w:hAnsi="Times New Roman" w:cs="Times New Roman"/>
                <w:b/>
                <w:sz w:val="15"/>
                <w:szCs w:val="15"/>
              </w:rPr>
              <w:sym w:font="Wingdings 2" w:char="00A3"/>
            </w:r>
            <w:r>
              <w:rPr>
                <w:rFonts w:hint="default" w:ascii="Times New Roman" w:hAnsi="Times New Roman" w:cs="Times New Roman"/>
                <w:b/>
                <w:sz w:val="15"/>
                <w:szCs w:val="15"/>
              </w:rPr>
              <w:t>技术改造</w:t>
            </w:r>
          </w:p>
        </w:tc>
        <w:tc>
          <w:tcPr>
            <w:tcW w:w="92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项目厂区中心经度/纬度</w:t>
            </w:r>
          </w:p>
        </w:tc>
        <w:tc>
          <w:tcPr>
            <w:tcW w:w="1859"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经度：120°57'31.11"</w:t>
            </w:r>
          </w:p>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纬度： 30°55'19.42"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设计生产能力</w:t>
            </w:r>
          </w:p>
        </w:tc>
        <w:tc>
          <w:tcPr>
            <w:tcW w:w="5072" w:type="dxa"/>
            <w:gridSpan w:val="6"/>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年产P1级、直径60毫米以上滚动轴承500万套/件</w:t>
            </w: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实际生产能力</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rPr>
            </w:pPr>
            <w:r>
              <w:rPr>
                <w:rFonts w:hint="eastAsia" w:ascii="Times New Roman" w:hAnsi="Times New Roman" w:eastAsia="宋体" w:cs="Times New Roman"/>
                <w:sz w:val="15"/>
                <w:szCs w:val="15"/>
                <w:lang w:val="en-US" w:eastAsia="zh-CN"/>
              </w:rPr>
              <w:t>年产P1级、直径60毫米以上滚动轴承500万套/件</w:t>
            </w:r>
          </w:p>
        </w:tc>
        <w:tc>
          <w:tcPr>
            <w:tcW w:w="1675"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环评单位</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嘉兴市求是环境工程咨询有限公司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环评文件审批机关</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嘉善县环境保护局</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审批文号</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报告表批</w:t>
            </w:r>
            <w:r>
              <w:rPr>
                <w:rFonts w:hint="default" w:ascii="Times New Roman" w:hAnsi="Times New Roman" w:cs="Times New Roman"/>
                <w:sz w:val="15"/>
                <w:szCs w:val="15"/>
                <w:lang w:val="en-US" w:eastAsia="zh-CN"/>
              </w:rPr>
              <w:t>复</w:t>
            </w:r>
            <w:r>
              <w:rPr>
                <w:rFonts w:hint="default" w:ascii="Times New Roman" w:hAnsi="Times New Roman" w:eastAsia="宋体" w:cs="Times New Roman"/>
                <w:sz w:val="15"/>
                <w:szCs w:val="15"/>
                <w:lang w:val="en-US" w:eastAsia="zh-CN"/>
              </w:rPr>
              <w:t>[201</w:t>
            </w:r>
            <w:r>
              <w:rPr>
                <w:rFonts w:hint="eastAsia" w:ascii="Times New Roman" w:hAnsi="Times New Roman" w:eastAsia="宋体" w:cs="Times New Roman"/>
                <w:sz w:val="15"/>
                <w:szCs w:val="15"/>
                <w:lang w:val="en-US" w:eastAsia="zh-CN"/>
              </w:rPr>
              <w:t>5</w:t>
            </w:r>
            <w:r>
              <w:rPr>
                <w:rFonts w:hint="default" w:ascii="Times New Roman" w:hAnsi="Times New Roman" w:eastAsia="宋体" w:cs="Times New Roman"/>
                <w:sz w:val="15"/>
                <w:szCs w:val="15"/>
                <w:lang w:val="en-US" w:eastAsia="zh-CN"/>
              </w:rPr>
              <w:t>]</w:t>
            </w:r>
            <w:r>
              <w:rPr>
                <w:rFonts w:hint="eastAsia" w:ascii="Times New Roman" w:hAnsi="Times New Roman" w:eastAsia="宋体" w:cs="Times New Roman"/>
                <w:sz w:val="15"/>
                <w:szCs w:val="15"/>
                <w:lang w:val="en-US" w:eastAsia="zh-CN"/>
              </w:rPr>
              <w:t>151</w:t>
            </w:r>
            <w:r>
              <w:rPr>
                <w:rFonts w:hint="default" w:ascii="Times New Roman" w:hAnsi="Times New Roman" w:eastAsia="宋体" w:cs="Times New Roman"/>
                <w:sz w:val="15"/>
                <w:szCs w:val="15"/>
                <w:lang w:val="en-US" w:eastAsia="zh-CN"/>
              </w:rPr>
              <w:t>号</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环评文件类型</w:t>
            </w:r>
          </w:p>
        </w:tc>
        <w:tc>
          <w:tcPr>
            <w:tcW w:w="2784" w:type="dxa"/>
            <w:gridSpan w:val="4"/>
            <w:tcMar>
              <w:left w:w="57" w:type="dxa"/>
              <w:right w:w="57" w:type="dxa"/>
            </w:tcMar>
            <w:vAlign w:val="center"/>
          </w:tcPr>
          <w:p>
            <w:pPr>
              <w:spacing w:line="240" w:lineRule="exact"/>
              <w:rPr>
                <w:rFonts w:hint="eastAsia" w:ascii="Times New Roman" w:hAnsi="Times New Roman" w:cs="Times New Roman" w:eastAsiaTheme="minorEastAsia"/>
                <w:b/>
                <w:color w:val="FF0000"/>
                <w:sz w:val="15"/>
                <w:szCs w:val="15"/>
                <w:lang w:val="en-US" w:eastAsia="zh-CN"/>
              </w:rPr>
            </w:pPr>
            <w:r>
              <w:rPr>
                <w:rFonts w:hint="default" w:ascii="Times New Roman" w:hAnsi="Times New Roman" w:cs="Times New Roman"/>
                <w:b w:val="0"/>
                <w:bCs/>
                <w:color w:val="auto"/>
                <w:sz w:val="15"/>
                <w:szCs w:val="15"/>
              </w:rPr>
              <w:t>环境影响报告</w:t>
            </w:r>
            <w:r>
              <w:rPr>
                <w:rFonts w:hint="eastAsia" w:ascii="Times New Roman" w:hAnsi="Times New Roman" w:cs="Times New Roman"/>
                <w:b w:val="0"/>
                <w:bCs/>
                <w:color w:val="auto"/>
                <w:sz w:val="15"/>
                <w:szCs w:val="15"/>
                <w:lang w:val="en-US" w:eastAsia="zh-CN"/>
              </w:rPr>
              <w:t>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开工日期</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竣工日期</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排污许可证申领时间</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环保设施设计单位</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b/>
                <w:sz w:val="15"/>
                <w:szCs w:val="15"/>
                <w:lang w:val="en-US" w:eastAsia="zh-CN"/>
              </w:rPr>
            </w:pPr>
            <w:r>
              <w:rPr>
                <w:rFonts w:hint="eastAsia" w:ascii="Times New Roman" w:hAnsi="Times New Roman" w:cs="Times New Roman"/>
                <w:b w:val="0"/>
                <w:bCs/>
                <w:sz w:val="15"/>
                <w:szCs w:val="15"/>
                <w:lang w:val="en-US" w:eastAsia="zh-CN"/>
              </w:rPr>
              <w:t>嘉善佳尚环保科技有限公司</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环保设施施工单位</w:t>
            </w:r>
          </w:p>
        </w:tc>
        <w:tc>
          <w:tcPr>
            <w:tcW w:w="2034" w:type="dxa"/>
            <w:tcMar>
              <w:left w:w="57" w:type="dxa"/>
              <w:right w:w="57" w:type="dxa"/>
            </w:tcMar>
            <w:vAlign w:val="center"/>
          </w:tcPr>
          <w:p>
            <w:pPr>
              <w:spacing w:line="240" w:lineRule="exact"/>
              <w:rPr>
                <w:rFonts w:hint="default" w:ascii="Times New Roman" w:hAnsi="Times New Roman" w:cs="Times New Roman"/>
                <w:sz w:val="15"/>
                <w:szCs w:val="15"/>
              </w:rPr>
            </w:pPr>
            <w:r>
              <w:rPr>
                <w:rFonts w:hint="eastAsia" w:ascii="Times New Roman" w:hAnsi="Times New Roman" w:cs="Times New Roman"/>
                <w:b w:val="0"/>
                <w:bCs/>
                <w:sz w:val="15"/>
                <w:szCs w:val="15"/>
                <w:lang w:val="en-US" w:eastAsia="zh-CN"/>
              </w:rPr>
              <w:t>嘉善佳尚环保科技有限公司</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本工程排污许可证编号</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验收单位</w:t>
            </w:r>
          </w:p>
        </w:tc>
        <w:tc>
          <w:tcPr>
            <w:tcW w:w="5072" w:type="dxa"/>
            <w:gridSpan w:val="6"/>
            <w:tcMar>
              <w:left w:w="57" w:type="dxa"/>
              <w:right w:w="57" w:type="dxa"/>
            </w:tcMar>
            <w:vAlign w:val="center"/>
          </w:tcPr>
          <w:p>
            <w:pPr>
              <w:spacing w:line="240" w:lineRule="exact"/>
              <w:rPr>
                <w:rFonts w:hint="default" w:ascii="Times New Roman" w:hAnsi="Times New Roman" w:cs="Times New Roman" w:eastAsiaTheme="minorEastAsia"/>
                <w:b/>
                <w:sz w:val="15"/>
                <w:szCs w:val="15"/>
                <w:lang w:val="en-US" w:eastAsia="zh-CN"/>
              </w:rPr>
            </w:pPr>
            <w:r>
              <w:rPr>
                <w:rFonts w:hint="eastAsia" w:ascii="Times New Roman" w:hAnsi="Times New Roman" w:cs="Times New Roman"/>
                <w:b w:val="0"/>
                <w:bCs/>
                <w:sz w:val="15"/>
                <w:szCs w:val="15"/>
                <w:lang w:val="en-US" w:eastAsia="zh-CN"/>
              </w:rPr>
              <w:t>浙江德沃轴承有限公司</w:t>
            </w:r>
          </w:p>
        </w:tc>
        <w:tc>
          <w:tcPr>
            <w:tcW w:w="1965"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环保设施监测单位</w:t>
            </w:r>
          </w:p>
        </w:tc>
        <w:tc>
          <w:tcPr>
            <w:tcW w:w="2034" w:type="dxa"/>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嘉兴威正检测服务有限公司</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验收监测时工况</w:t>
            </w:r>
          </w:p>
        </w:tc>
        <w:tc>
          <w:tcPr>
            <w:tcW w:w="2784" w:type="dxa"/>
            <w:gridSpan w:val="4"/>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投资总概算（万</w:t>
            </w:r>
            <w:r>
              <w:rPr>
                <w:rFonts w:hint="eastAsia" w:ascii="Times New Roman" w:hAnsi="Times New Roman" w:cs="Times New Roman"/>
                <w:b/>
                <w:sz w:val="15"/>
                <w:szCs w:val="15"/>
                <w:lang w:val="en-US" w:eastAsia="zh-CN"/>
              </w:rPr>
              <w:t>美</w:t>
            </w:r>
            <w:r>
              <w:rPr>
                <w:rFonts w:hint="default" w:ascii="Times New Roman" w:hAnsi="Times New Roman" w:cs="Times New Roman"/>
                <w:b/>
                <w:sz w:val="15"/>
                <w:szCs w:val="15"/>
              </w:rPr>
              <w:t>元）</w:t>
            </w:r>
          </w:p>
        </w:tc>
        <w:tc>
          <w:tcPr>
            <w:tcW w:w="5072" w:type="dxa"/>
            <w:gridSpan w:val="6"/>
            <w:tcMar>
              <w:left w:w="57" w:type="dxa"/>
              <w:right w:w="57" w:type="dxa"/>
            </w:tcMar>
            <w:vAlign w:val="center"/>
          </w:tcPr>
          <w:p>
            <w:pPr>
              <w:spacing w:line="240" w:lineRule="exact"/>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4000</w:t>
            </w:r>
          </w:p>
        </w:tc>
        <w:tc>
          <w:tcPr>
            <w:tcW w:w="1965" w:type="dxa"/>
            <w:gridSpan w:val="2"/>
            <w:tcMar>
              <w:left w:w="57" w:type="dxa"/>
              <w:right w:w="57" w:type="dxa"/>
            </w:tcMar>
            <w:vAlign w:val="center"/>
          </w:tcPr>
          <w:p>
            <w:pPr>
              <w:tabs>
                <w:tab w:val="left" w:pos="690"/>
              </w:tabs>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环保投资总概算（万元）</w:t>
            </w:r>
          </w:p>
        </w:tc>
        <w:tc>
          <w:tcPr>
            <w:tcW w:w="2034"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23</w:t>
            </w:r>
          </w:p>
        </w:tc>
        <w:tc>
          <w:tcPr>
            <w:tcW w:w="1675" w:type="dxa"/>
            <w:gridSpan w:val="3"/>
            <w:tcMar>
              <w:left w:w="57" w:type="dxa"/>
              <w:right w:w="57" w:type="dxa"/>
            </w:tcMar>
            <w:vAlign w:val="center"/>
          </w:tcPr>
          <w:p>
            <w:pPr>
              <w:tabs>
                <w:tab w:val="left" w:pos="690"/>
              </w:tabs>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所占比例（%）</w:t>
            </w:r>
          </w:p>
        </w:tc>
        <w:tc>
          <w:tcPr>
            <w:tcW w:w="2784" w:type="dxa"/>
            <w:gridSpan w:val="4"/>
            <w:tcMar>
              <w:left w:w="57" w:type="dxa"/>
              <w:right w:w="57" w:type="dxa"/>
            </w:tcMar>
            <w:vAlign w:val="center"/>
          </w:tcPr>
          <w:p>
            <w:pPr>
              <w:tabs>
                <w:tab w:val="left" w:pos="690"/>
              </w:tabs>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实际总投资（万</w:t>
            </w:r>
            <w:r>
              <w:rPr>
                <w:rFonts w:hint="eastAsia" w:ascii="Times New Roman" w:hAnsi="Times New Roman" w:cs="Times New Roman"/>
                <w:b/>
                <w:sz w:val="15"/>
                <w:szCs w:val="15"/>
                <w:lang w:val="en-US" w:eastAsia="zh-CN"/>
              </w:rPr>
              <w:t>美</w:t>
            </w:r>
            <w:r>
              <w:rPr>
                <w:rFonts w:hint="default" w:ascii="Times New Roman" w:hAnsi="Times New Roman" w:cs="Times New Roman"/>
                <w:b/>
                <w:sz w:val="15"/>
                <w:szCs w:val="15"/>
              </w:rPr>
              <w:t>元）</w:t>
            </w:r>
          </w:p>
        </w:tc>
        <w:tc>
          <w:tcPr>
            <w:tcW w:w="5072" w:type="dxa"/>
            <w:gridSpan w:val="6"/>
            <w:tcMar>
              <w:left w:w="57" w:type="dxa"/>
              <w:right w:w="57" w:type="dxa"/>
            </w:tcMar>
            <w:vAlign w:val="top"/>
          </w:tcPr>
          <w:p>
            <w:pPr>
              <w:spacing w:line="240" w:lineRule="exact"/>
              <w:rPr>
                <w:rFonts w:hint="default" w:ascii="Times New Roman" w:hAnsi="Times New Roman" w:eastAsia="宋体" w:cs="Times New Roman"/>
                <w:b w:val="0"/>
                <w:bCs/>
                <w:color w:val="auto"/>
                <w:sz w:val="15"/>
                <w:szCs w:val="15"/>
                <w:lang w:val="en-US" w:eastAsia="zh-CN"/>
              </w:rPr>
            </w:pPr>
            <w:r>
              <w:rPr>
                <w:rFonts w:hint="eastAsia" w:ascii="Times New Roman" w:hAnsi="Times New Roman" w:eastAsia="宋体" w:cs="Times New Roman"/>
                <w:b w:val="0"/>
                <w:bCs/>
                <w:color w:val="auto"/>
                <w:sz w:val="15"/>
                <w:szCs w:val="15"/>
                <w:lang w:val="en-US" w:eastAsia="zh-CN"/>
              </w:rPr>
              <w:t>4000</w:t>
            </w:r>
          </w:p>
        </w:tc>
        <w:tc>
          <w:tcPr>
            <w:tcW w:w="1965" w:type="dxa"/>
            <w:gridSpan w:val="2"/>
            <w:tcMar>
              <w:left w:w="57" w:type="dxa"/>
              <w:right w:w="57" w:type="dxa"/>
            </w:tcMar>
            <w:vAlign w:val="center"/>
          </w:tcPr>
          <w:p>
            <w:pPr>
              <w:spacing w:line="240" w:lineRule="exact"/>
              <w:ind w:right="300"/>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实际环保投资（万元）</w:t>
            </w:r>
          </w:p>
        </w:tc>
        <w:tc>
          <w:tcPr>
            <w:tcW w:w="2034" w:type="dxa"/>
            <w:tcMar>
              <w:left w:w="57" w:type="dxa"/>
              <w:right w:w="57" w:type="dxa"/>
            </w:tcMar>
            <w:vAlign w:val="top"/>
          </w:tcPr>
          <w:p>
            <w:pPr>
              <w:spacing w:line="240" w:lineRule="exact"/>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26</w:t>
            </w:r>
          </w:p>
        </w:tc>
        <w:tc>
          <w:tcPr>
            <w:tcW w:w="1675" w:type="dxa"/>
            <w:gridSpan w:val="3"/>
            <w:tcMar>
              <w:left w:w="57" w:type="dxa"/>
              <w:right w:w="57" w:type="dxa"/>
            </w:tcMar>
            <w:vAlign w:val="center"/>
          </w:tcPr>
          <w:p>
            <w:pPr>
              <w:spacing w:line="240" w:lineRule="exact"/>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所占比例（%）</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0.65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废水治理（万元）</w:t>
            </w:r>
          </w:p>
        </w:tc>
        <w:tc>
          <w:tcPr>
            <w:tcW w:w="828"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3</w:t>
            </w:r>
          </w:p>
        </w:tc>
        <w:tc>
          <w:tcPr>
            <w:tcW w:w="1201"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废气治理（万元）</w:t>
            </w:r>
          </w:p>
        </w:tc>
        <w:tc>
          <w:tcPr>
            <w:tcW w:w="887"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16</w:t>
            </w:r>
          </w:p>
        </w:tc>
        <w:tc>
          <w:tcPr>
            <w:tcW w:w="143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噪声治理（万元）</w:t>
            </w:r>
          </w:p>
        </w:tc>
        <w:tc>
          <w:tcPr>
            <w:tcW w:w="720"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2</w:t>
            </w: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固体废物治理（万元）</w:t>
            </w:r>
          </w:p>
        </w:tc>
        <w:tc>
          <w:tcPr>
            <w:tcW w:w="2034"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5</w:t>
            </w: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绿化及生态（万元）</w:t>
            </w:r>
          </w:p>
        </w:tc>
        <w:tc>
          <w:tcPr>
            <w:tcW w:w="429" w:type="dxa"/>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0</w:t>
            </w:r>
          </w:p>
        </w:tc>
        <w:tc>
          <w:tcPr>
            <w:tcW w:w="1032"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其他（万元）</w:t>
            </w:r>
          </w:p>
        </w:tc>
        <w:tc>
          <w:tcPr>
            <w:tcW w:w="1323"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964"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新增废水处理设施能力</w:t>
            </w:r>
          </w:p>
        </w:tc>
        <w:tc>
          <w:tcPr>
            <w:tcW w:w="5072" w:type="dxa"/>
            <w:gridSpan w:val="6"/>
            <w:tcMar>
              <w:left w:w="57" w:type="dxa"/>
              <w:right w:w="57" w:type="dxa"/>
            </w:tcMar>
            <w:vAlign w:val="center"/>
          </w:tcPr>
          <w:p>
            <w:pPr>
              <w:spacing w:line="240" w:lineRule="exact"/>
              <w:rPr>
                <w:rFonts w:hint="default" w:ascii="Times New Roman" w:hAnsi="Times New Roman" w:cs="Times New Roman"/>
                <w:sz w:val="15"/>
                <w:szCs w:val="15"/>
              </w:rPr>
            </w:pPr>
          </w:p>
        </w:tc>
        <w:tc>
          <w:tcPr>
            <w:tcW w:w="1965"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新增废气处理设施能力</w:t>
            </w:r>
          </w:p>
        </w:tc>
        <w:tc>
          <w:tcPr>
            <w:tcW w:w="2034" w:type="dxa"/>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8000m</w:t>
            </w:r>
            <w:r>
              <w:rPr>
                <w:rFonts w:hint="eastAsia" w:ascii="Times New Roman" w:hAnsi="Times New Roman" w:cs="Times New Roman" w:eastAsiaTheme="minorEastAsia"/>
                <w:sz w:val="15"/>
                <w:szCs w:val="15"/>
                <w:vertAlign w:val="superscript"/>
                <w:lang w:val="en-US" w:eastAsia="zh-CN"/>
              </w:rPr>
              <w:t>3</w:t>
            </w:r>
            <w:r>
              <w:rPr>
                <w:rFonts w:hint="eastAsia" w:ascii="Times New Roman" w:hAnsi="Times New Roman" w:cs="Times New Roman"/>
                <w:sz w:val="15"/>
                <w:szCs w:val="15"/>
                <w:lang w:val="en-US" w:eastAsia="zh-CN"/>
              </w:rPr>
              <w:t>/h</w:t>
            </w:r>
          </w:p>
        </w:tc>
        <w:tc>
          <w:tcPr>
            <w:tcW w:w="1675" w:type="dxa"/>
            <w:gridSpan w:val="3"/>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年平均工作时</w:t>
            </w:r>
          </w:p>
        </w:tc>
        <w:tc>
          <w:tcPr>
            <w:tcW w:w="2784" w:type="dxa"/>
            <w:gridSpan w:val="4"/>
            <w:tcMar>
              <w:left w:w="57" w:type="dxa"/>
              <w:right w:w="57" w:type="dxa"/>
            </w:tcMar>
            <w:vAlign w:val="center"/>
          </w:tcPr>
          <w:p>
            <w:pPr>
              <w:spacing w:line="240" w:lineRule="exac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2394" w:type="dxa"/>
            <w:gridSpan w:val="4"/>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运营单位</w:t>
            </w:r>
          </w:p>
        </w:tc>
        <w:tc>
          <w:tcPr>
            <w:tcW w:w="3904" w:type="dxa"/>
            <w:gridSpan w:val="4"/>
            <w:tcMar>
              <w:left w:w="57" w:type="dxa"/>
              <w:right w:w="57" w:type="dxa"/>
            </w:tcMar>
            <w:vAlign w:val="center"/>
          </w:tcPr>
          <w:p>
            <w:pPr>
              <w:spacing w:line="240" w:lineRule="exact"/>
              <w:rPr>
                <w:rFonts w:hint="default" w:ascii="Times New Roman" w:hAnsi="Times New Roman" w:cs="Times New Roman"/>
                <w:sz w:val="15"/>
                <w:szCs w:val="15"/>
              </w:rPr>
            </w:pPr>
          </w:p>
        </w:tc>
        <w:tc>
          <w:tcPr>
            <w:tcW w:w="3133" w:type="dxa"/>
            <w:gridSpan w:val="4"/>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运营单位社会统一信用代码（或组织机构代码）</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rPr>
            </w:pPr>
          </w:p>
        </w:tc>
        <w:tc>
          <w:tcPr>
            <w:tcW w:w="1675" w:type="dxa"/>
            <w:gridSpan w:val="3"/>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验收时间</w:t>
            </w:r>
          </w:p>
        </w:tc>
        <w:tc>
          <w:tcPr>
            <w:tcW w:w="2784" w:type="dxa"/>
            <w:gridSpan w:val="4"/>
            <w:tcMar>
              <w:left w:w="57" w:type="dxa"/>
              <w:right w:w="57" w:type="dxa"/>
            </w:tcMar>
            <w:vAlign w:val="center"/>
          </w:tcPr>
          <w:p>
            <w:pPr>
              <w:spacing w:line="240" w:lineRule="exact"/>
              <w:rPr>
                <w:rFonts w:hint="default" w:ascii="Times New Roman" w:hAnsi="Times New Roman" w:cs="Times New Roman" w:eastAsiaTheme="minorEastAsia"/>
                <w:sz w:val="15"/>
                <w:szCs w:val="15"/>
                <w:lang w:val="en-US" w:eastAsia="zh-CN"/>
              </w:rPr>
            </w:pPr>
            <w:r>
              <w:rPr>
                <w:rFonts w:hint="default" w:ascii="Times New Roman" w:hAnsi="Times New Roman" w:cs="Times New Roman"/>
                <w:sz w:val="15"/>
                <w:szCs w:val="15"/>
              </w:rPr>
              <w:t>201</w:t>
            </w:r>
            <w:r>
              <w:rPr>
                <w:rFonts w:hint="eastAsia" w:ascii="Times New Roman" w:hAnsi="Times New Roman" w:cs="Times New Roman"/>
                <w:sz w:val="15"/>
                <w:szCs w:val="15"/>
                <w:lang w:val="en-US" w:eastAsia="zh-CN"/>
              </w:rPr>
              <w:t>9.07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restart"/>
            <w:tcMar>
              <w:left w:w="57" w:type="dxa"/>
              <w:right w:w="57" w:type="dxa"/>
            </w:tcMar>
            <w:vAlign w:val="center"/>
          </w:tcPr>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污染</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物排</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放达</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标与</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总量</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控制（工</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业建</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设项</w:t>
            </w:r>
          </w:p>
          <w:p>
            <w:pPr>
              <w:spacing w:line="240" w:lineRule="exact"/>
              <w:rPr>
                <w:rFonts w:hint="default" w:ascii="Times New Roman" w:hAnsi="Times New Roman" w:eastAsia="黑体" w:cs="Times New Roman"/>
                <w:b/>
                <w:spacing w:val="20"/>
                <w:sz w:val="15"/>
                <w:szCs w:val="15"/>
              </w:rPr>
            </w:pPr>
            <w:r>
              <w:rPr>
                <w:rFonts w:hint="default" w:ascii="Times New Roman" w:hAnsi="Times New Roman" w:eastAsia="黑体" w:cs="Times New Roman"/>
                <w:b/>
                <w:spacing w:val="20"/>
                <w:sz w:val="15"/>
                <w:szCs w:val="15"/>
              </w:rPr>
              <w:t>目详填）</w:t>
            </w:r>
          </w:p>
        </w:tc>
        <w:tc>
          <w:tcPr>
            <w:tcW w:w="1796"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污染物</w:t>
            </w:r>
          </w:p>
        </w:tc>
        <w:tc>
          <w:tcPr>
            <w:tcW w:w="828"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原有排</w:t>
            </w:r>
          </w:p>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放量(1)</w:t>
            </w:r>
          </w:p>
        </w:tc>
        <w:tc>
          <w:tcPr>
            <w:tcW w:w="1201"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本期工程实际排放浓度(2)</w:t>
            </w:r>
          </w:p>
        </w:tc>
        <w:tc>
          <w:tcPr>
            <w:tcW w:w="887"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本期工程允许排放浓度(3)</w:t>
            </w:r>
          </w:p>
        </w:tc>
        <w:tc>
          <w:tcPr>
            <w:tcW w:w="988"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本期工程产生量(4)</w:t>
            </w:r>
          </w:p>
        </w:tc>
        <w:tc>
          <w:tcPr>
            <w:tcW w:w="1168"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本期工程自身削减量(5)</w:t>
            </w:r>
          </w:p>
        </w:tc>
        <w:tc>
          <w:tcPr>
            <w:tcW w:w="900"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本期工程实际排放量(6)</w:t>
            </w:r>
          </w:p>
        </w:tc>
        <w:tc>
          <w:tcPr>
            <w:tcW w:w="1065" w:type="dxa"/>
            <w:tcMar>
              <w:left w:w="57" w:type="dxa"/>
              <w:right w:w="57" w:type="dxa"/>
            </w:tcMar>
            <w:vAlign w:val="center"/>
          </w:tcPr>
          <w:p>
            <w:pPr>
              <w:spacing w:line="240" w:lineRule="exact"/>
              <w:jc w:val="center"/>
              <w:rPr>
                <w:rFonts w:hint="default" w:ascii="Times New Roman" w:hAnsi="Times New Roman" w:cs="Times New Roman"/>
                <w:b/>
                <w:sz w:val="15"/>
                <w:szCs w:val="15"/>
              </w:rPr>
            </w:pPr>
            <w:r>
              <w:rPr>
                <w:rFonts w:hint="default" w:ascii="Times New Roman" w:hAnsi="Times New Roman" w:cs="Times New Roman"/>
                <w:b/>
                <w:sz w:val="15"/>
                <w:szCs w:val="15"/>
              </w:rPr>
              <w:t>本期工程核定排放总量(7)</w:t>
            </w:r>
          </w:p>
        </w:tc>
        <w:tc>
          <w:tcPr>
            <w:tcW w:w="2034"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本期工程“以新带老”削减量(8)</w:t>
            </w:r>
          </w:p>
        </w:tc>
        <w:tc>
          <w:tcPr>
            <w:tcW w:w="1041"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全厂实际排放总量(9)</w:t>
            </w:r>
          </w:p>
        </w:tc>
        <w:tc>
          <w:tcPr>
            <w:tcW w:w="1063"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全厂核定排放总量(10)</w:t>
            </w:r>
          </w:p>
        </w:tc>
        <w:tc>
          <w:tcPr>
            <w:tcW w:w="1032"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区域平衡替代削减量(11)</w:t>
            </w:r>
          </w:p>
        </w:tc>
        <w:tc>
          <w:tcPr>
            <w:tcW w:w="1323" w:type="dxa"/>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598" w:type="dxa"/>
            <w:gridSpan w:val="2"/>
            <w:vMerge w:val="continue"/>
            <w:tcMar>
              <w:left w:w="57" w:type="dxa"/>
              <w:right w:w="57" w:type="dxa"/>
            </w:tcMar>
            <w:vAlign w:val="center"/>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废水</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0.2977</w:t>
            </w:r>
          </w:p>
        </w:tc>
        <w:tc>
          <w:tcPr>
            <w:tcW w:w="1065"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eastAsia="宋体" w:cs="Times New Roman"/>
                <w:sz w:val="15"/>
                <w:szCs w:val="15"/>
                <w:lang w:val="en-US" w:eastAsia="zh-CN"/>
              </w:rPr>
              <w:t>0.2977</w:t>
            </w: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0.6243</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化学需氧量</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50</w:t>
            </w:r>
          </w:p>
        </w:tc>
        <w:tc>
          <w:tcPr>
            <w:tcW w:w="988"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0.149</w:t>
            </w: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lang w:val="en-US"/>
              </w:rPr>
            </w:pPr>
            <w:r>
              <w:rPr>
                <w:rFonts w:hint="eastAsia" w:ascii="Times New Roman" w:hAnsi="Times New Roman" w:cs="Times New Roman"/>
                <w:sz w:val="15"/>
                <w:szCs w:val="15"/>
                <w:lang w:val="en-US" w:eastAsia="zh-CN"/>
              </w:rPr>
              <w:t>0.149</w:t>
            </w: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0.312</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default" w:ascii="Times New Roman" w:hAnsi="Times New Roman" w:cs="Times New Roman"/>
                <w:sz w:val="15"/>
                <w:szCs w:val="15"/>
              </w:rPr>
              <w:t>+0.</w:t>
            </w:r>
            <w:r>
              <w:rPr>
                <w:rFonts w:hint="eastAsia" w:ascii="Times New Roman" w:hAnsi="Times New Roman" w:cs="Times New Roman"/>
                <w:sz w:val="15"/>
                <w:szCs w:val="15"/>
                <w:lang w:val="en-US" w:eastAsia="zh-CN"/>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氨氮</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eastAsia="zh-CN"/>
              </w:rPr>
            </w:pPr>
            <w:r>
              <w:rPr>
                <w:rFonts w:hint="default" w:ascii="Times New Roman" w:hAnsi="Times New Roman" w:cs="Times New Roman"/>
                <w:sz w:val="15"/>
                <w:szCs w:val="15"/>
                <w:lang w:val="en-US" w:eastAsia="zh-CN"/>
              </w:rPr>
              <w:t>5</w:t>
            </w: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0.0149</w:t>
            </w: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lang w:val="en-US"/>
              </w:rPr>
            </w:pPr>
            <w:r>
              <w:rPr>
                <w:rFonts w:hint="eastAsia" w:ascii="Times New Roman" w:hAnsi="Times New Roman" w:cs="Times New Roman"/>
                <w:sz w:val="15"/>
                <w:szCs w:val="15"/>
                <w:lang w:val="en-US" w:eastAsia="zh-CN"/>
              </w:rPr>
              <w:t>0.0149</w:t>
            </w: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0.0312</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r>
              <w:rPr>
                <w:rFonts w:hint="default" w:ascii="Times New Roman" w:hAnsi="Times New Roman" w:cs="Times New Roman"/>
                <w:sz w:val="15"/>
                <w:szCs w:val="15"/>
              </w:rPr>
              <w:t>+0.</w:t>
            </w:r>
            <w:r>
              <w:rPr>
                <w:rFonts w:hint="eastAsia" w:ascii="Times New Roman" w:hAnsi="Times New Roman" w:cs="Times New Roman"/>
                <w:sz w:val="15"/>
                <w:szCs w:val="15"/>
                <w:lang w:val="en-US" w:eastAsia="zh-CN"/>
              </w:rPr>
              <w:t>0149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石油类</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eastAsia="黑体" w:cs="Times New Roman"/>
                <w:b/>
                <w:sz w:val="15"/>
                <w:szCs w:val="15"/>
              </w:rPr>
            </w:pPr>
            <w:r>
              <w:rPr>
                <w:rFonts w:hint="default" w:ascii="Times New Roman" w:hAnsi="Times New Roman" w:cs="Times New Roman"/>
                <w:b/>
                <w:sz w:val="15"/>
                <w:szCs w:val="15"/>
              </w:rPr>
              <w:t>废气</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二氧化硫</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textAlignment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textAlignment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烟尘</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eastAsia="宋体" w:cs="Times New Roman"/>
                <w:sz w:val="15"/>
                <w:szCs w:val="1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工业粉尘</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sz w:val="15"/>
                <w:szCs w:val="15"/>
                <w:lang w:val="en-US" w:eastAsia="zh-CN"/>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cs="Times New Roman"/>
                <w:b/>
                <w:sz w:val="15"/>
                <w:szCs w:val="15"/>
              </w:rPr>
            </w:pPr>
            <w:r>
              <w:rPr>
                <w:rFonts w:hint="default" w:ascii="Times New Roman" w:hAnsi="Times New Roman" w:cs="Times New Roman"/>
                <w:b/>
                <w:sz w:val="15"/>
                <w:szCs w:val="15"/>
              </w:rPr>
              <w:t>氮氧化物</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796" w:type="dxa"/>
            <w:gridSpan w:val="2"/>
            <w:tcMar>
              <w:left w:w="57" w:type="dxa"/>
              <w:right w:w="57" w:type="dxa"/>
            </w:tcMar>
            <w:vAlign w:val="center"/>
          </w:tcPr>
          <w:p>
            <w:pPr>
              <w:spacing w:line="240" w:lineRule="exact"/>
              <w:rPr>
                <w:rFonts w:hint="default" w:ascii="Times New Roman" w:hAnsi="Times New Roman" w:eastAsia="黑体" w:cs="Times New Roman"/>
                <w:b/>
                <w:sz w:val="15"/>
                <w:szCs w:val="15"/>
              </w:rPr>
            </w:pPr>
            <w:r>
              <w:rPr>
                <w:rFonts w:hint="default" w:ascii="Times New Roman" w:hAnsi="Times New Roman" w:cs="Times New Roman"/>
                <w:b/>
                <w:sz w:val="15"/>
                <w:szCs w:val="15"/>
              </w:rPr>
              <w:t>工业固体废物</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restart"/>
            <w:tcMar>
              <w:left w:w="57" w:type="dxa"/>
              <w:right w:w="57" w:type="dxa"/>
            </w:tcMar>
            <w:vAlign w:val="top"/>
          </w:tcPr>
          <w:p>
            <w:pPr>
              <w:spacing w:line="240" w:lineRule="exact"/>
              <w:rPr>
                <w:rFonts w:hint="default" w:ascii="Times New Roman" w:hAnsi="Times New Roman" w:cs="Times New Roman"/>
                <w:sz w:val="15"/>
                <w:szCs w:val="15"/>
              </w:rPr>
            </w:pPr>
            <w:r>
              <w:rPr>
                <w:rFonts w:hint="default" w:ascii="Times New Roman" w:hAnsi="Times New Roman" w:cs="Times New Roman"/>
                <w:b/>
                <w:sz w:val="15"/>
                <w:szCs w:val="15"/>
              </w:rPr>
              <w:t>与项目有关的其他特征污染物</w:t>
            </w: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r>
              <w:rPr>
                <w:rFonts w:hint="default" w:ascii="Times New Roman" w:hAnsi="Times New Roman" w:cs="Times New Roman"/>
                <w:sz w:val="15"/>
                <w:szCs w:val="15"/>
              </w:rPr>
              <w:t>VOC</w:t>
            </w:r>
            <w:r>
              <w:rPr>
                <w:rFonts w:hint="default" w:ascii="Times New Roman" w:hAnsi="Times New Roman" w:cs="Times New Roman"/>
                <w:sz w:val="15"/>
                <w:szCs w:val="15"/>
                <w:vertAlign w:val="subscript"/>
              </w:rPr>
              <w:t>S</w:t>
            </w: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0.0882</w:t>
            </w: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0.0469</w:t>
            </w:r>
          </w:p>
        </w:tc>
        <w:tc>
          <w:tcPr>
            <w:tcW w:w="900"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0.0413</w:t>
            </w:r>
          </w:p>
        </w:tc>
        <w:tc>
          <w:tcPr>
            <w:tcW w:w="1065"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p>
        </w:tc>
        <w:tc>
          <w:tcPr>
            <w:tcW w:w="2034" w:type="dxa"/>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lang w:val="en-US"/>
              </w:rPr>
            </w:pPr>
            <w:r>
              <w:rPr>
                <w:rFonts w:hint="eastAsia" w:ascii="Times New Roman" w:hAnsi="Times New Roman" w:cs="Times New Roman"/>
                <w:color w:val="auto"/>
                <w:sz w:val="15"/>
                <w:szCs w:val="15"/>
                <w:lang w:val="en-US" w:eastAsia="zh-CN"/>
              </w:rPr>
              <w:t>0.0413</w:t>
            </w: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0.072</w:t>
            </w: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color w:val="auto"/>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+0.0413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continue"/>
            <w:tcMar>
              <w:left w:w="57" w:type="dxa"/>
              <w:right w:w="57" w:type="dxa"/>
            </w:tcMar>
            <w:vAlign w:val="top"/>
          </w:tcPr>
          <w:p>
            <w:pPr>
              <w:spacing w:line="240" w:lineRule="exact"/>
              <w:rPr>
                <w:rFonts w:hint="default" w:ascii="Times New Roman" w:hAnsi="Times New Roman" w:cs="Times New Roman"/>
                <w:b/>
                <w:sz w:val="15"/>
                <w:szCs w:val="15"/>
              </w:rPr>
            </w:pP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top"/>
          </w:tcPr>
          <w:p>
            <w:pPr>
              <w:spacing w:line="240" w:lineRule="exact"/>
              <w:rPr>
                <w:rFonts w:hint="default" w:ascii="Times New Roman" w:hAnsi="Times New Roman" w:cs="Times New Roman"/>
                <w:sz w:val="15"/>
                <w:szCs w:val="15"/>
              </w:rPr>
            </w:pPr>
          </w:p>
        </w:tc>
        <w:tc>
          <w:tcPr>
            <w:tcW w:w="1178" w:type="dxa"/>
            <w:vMerge w:val="continue"/>
            <w:tcMar>
              <w:left w:w="57" w:type="dxa"/>
              <w:right w:w="57" w:type="dxa"/>
            </w:tcMar>
            <w:vAlign w:val="top"/>
          </w:tcPr>
          <w:p>
            <w:pPr>
              <w:spacing w:line="240" w:lineRule="exact"/>
              <w:rPr>
                <w:rFonts w:hint="default" w:ascii="Times New Roman" w:hAnsi="Times New Roman" w:cs="Times New Roman"/>
                <w:b/>
                <w:sz w:val="15"/>
                <w:szCs w:val="15"/>
              </w:rPr>
            </w:pPr>
          </w:p>
        </w:tc>
        <w:tc>
          <w:tcPr>
            <w:tcW w:w="618" w:type="dxa"/>
            <w:tcMar>
              <w:left w:w="57" w:type="dxa"/>
              <w:right w:w="57" w:type="dxa"/>
            </w:tcMar>
            <w:vAlign w:val="center"/>
          </w:tcPr>
          <w:p>
            <w:pPr>
              <w:spacing w:line="240" w:lineRule="exact"/>
              <w:rPr>
                <w:rFonts w:hint="default" w:ascii="Times New Roman" w:hAnsi="Times New Roman" w:cs="Times New Roman"/>
                <w:sz w:val="15"/>
                <w:szCs w:val="15"/>
              </w:rPr>
            </w:pPr>
          </w:p>
        </w:tc>
        <w:tc>
          <w:tcPr>
            <w:tcW w:w="82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201"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887"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88"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168"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900"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5"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2034" w:type="dxa"/>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41"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63"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032" w:type="dxa"/>
            <w:gridSpan w:val="2"/>
            <w:tcMar>
              <w:left w:w="57" w:type="dxa"/>
              <w:right w:w="57" w:type="dxa"/>
            </w:tcMar>
            <w:vAlign w:val="center"/>
          </w:tcPr>
          <w:p>
            <w:pPr>
              <w:spacing w:line="240" w:lineRule="exact"/>
              <w:jc w:val="center"/>
              <w:rPr>
                <w:rFonts w:hint="default" w:ascii="Times New Roman" w:hAnsi="Times New Roman" w:cs="Times New Roman"/>
                <w:sz w:val="15"/>
                <w:szCs w:val="15"/>
              </w:rPr>
            </w:pPr>
          </w:p>
        </w:tc>
        <w:tc>
          <w:tcPr>
            <w:tcW w:w="1323" w:type="dxa"/>
            <w:tcMar>
              <w:left w:w="57" w:type="dxa"/>
              <w:right w:w="57" w:type="dxa"/>
            </w:tcMar>
            <w:vAlign w:val="center"/>
          </w:tcPr>
          <w:p>
            <w:pPr>
              <w:spacing w:line="240" w:lineRule="exact"/>
              <w:jc w:val="center"/>
              <w:rPr>
                <w:rFonts w:hint="default" w:ascii="Times New Roman" w:hAnsi="Times New Roman" w:cs="Times New Roman"/>
                <w:sz w:val="15"/>
                <w:szCs w:val="15"/>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b/>
          <w:sz w:val="15"/>
          <w:szCs w:val="15"/>
        </w:rPr>
        <w:t>注</w:t>
      </w:r>
      <w:r>
        <w:rPr>
          <w:rFonts w:hint="default" w:ascii="Times New Roman" w:hAnsi="Times New Roman" w:cs="Times New Roman"/>
          <w:sz w:val="15"/>
          <w:szCs w:val="15"/>
        </w:rPr>
        <w:t>：1、</w:t>
      </w:r>
      <w:r>
        <w:rPr>
          <w:rFonts w:hint="default" w:ascii="Times New Roman" w:hAnsi="Times New Roman" w:cs="Times New Roman"/>
          <w:spacing w:val="-4"/>
          <w:sz w:val="15"/>
          <w:szCs w:val="15"/>
        </w:rPr>
        <w:t>排放增减量：（+）表示增加，（-）表示减少。2、(12)=(6)-(8)-(11)，（9）= (4)-(5)-(8)- (11) +（1）。3、计量单位：废水排放量——万吨/年；废气排放量——万标立方米/年；工业固体废物排放</w:t>
      </w:r>
      <w:r>
        <w:rPr>
          <w:rFonts w:hint="default" w:ascii="Times New Roman" w:hAnsi="Times New Roman" w:cs="Times New Roman"/>
          <w:sz w:val="15"/>
          <w:szCs w:val="15"/>
        </w:rPr>
        <w:t>量——万吨/年；水污染物排放浓度——毫克/升</w:t>
      </w:r>
    </w:p>
    <w:sectPr>
      <w:headerReference r:id="rId10" w:type="default"/>
      <w:pgSz w:w="16838" w:h="11906" w:orient="landscape"/>
      <w:pgMar w:top="1134" w:right="1134" w:bottom="1134" w:left="1134" w:header="851" w:footer="567" w:gutter="0"/>
      <w:pgBorders>
        <w:top w:val="none" w:sz="0" w:space="0"/>
        <w:left w:val="none" w:sz="0" w:space="0"/>
        <w:bottom w:val="none" w:sz="0" w:space="0"/>
        <w:right w:val="none"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w:t>
    </w:r>
  </w:p>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验收监测报告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竣工环境保护验收监测报告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w:t>
    </w:r>
  </w:p>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验收监测报告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竣工环境保护验收监测报告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w:t>
    </w:r>
  </w:p>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验收监测报告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浙江德沃轴承有限公司新建年产P1级、直径60毫米以上滚动轴承500万套/件生产项目</w:t>
    </w:r>
    <w:r>
      <w:rPr>
        <w:rFonts w:hint="default" w:ascii="Times New Roman" w:hAnsi="Times New Roman" w:cs="Times New Roman"/>
        <w:sz w:val="18"/>
        <w:szCs w:val="18"/>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F570A"/>
    <w:multiLevelType w:val="singleLevel"/>
    <w:tmpl w:val="A3FF570A"/>
    <w:lvl w:ilvl="0" w:tentative="0">
      <w:start w:val="1"/>
      <w:numFmt w:val="decimal"/>
      <w:suff w:val="nothing"/>
      <w:lvlText w:val="%1、"/>
      <w:lvlJc w:val="left"/>
      <w:pPr>
        <w:ind w:left="420" w:firstLine="0"/>
      </w:pPr>
    </w:lvl>
  </w:abstractNum>
  <w:abstractNum w:abstractNumId="1">
    <w:nsid w:val="F023404E"/>
    <w:multiLevelType w:val="singleLevel"/>
    <w:tmpl w:val="F023404E"/>
    <w:lvl w:ilvl="0" w:tentative="0">
      <w:start w:val="1"/>
      <w:numFmt w:val="chineseCounting"/>
      <w:suff w:val="nothing"/>
      <w:lvlText w:val="%1、"/>
      <w:lvlJc w:val="left"/>
      <w:rPr>
        <w:rFonts w:hint="eastAsia"/>
      </w:rPr>
    </w:lvl>
  </w:abstractNum>
  <w:abstractNum w:abstractNumId="2">
    <w:nsid w:val="4063BB29"/>
    <w:multiLevelType w:val="singleLevel"/>
    <w:tmpl w:val="4063BB29"/>
    <w:lvl w:ilvl="0" w:tentative="0">
      <w:start w:val="1"/>
      <w:numFmt w:val="decimal"/>
      <w:suff w:val="nothing"/>
      <w:lvlText w:val="（%1）"/>
      <w:lvlJc w:val="left"/>
    </w:lvl>
  </w:abstractNum>
  <w:abstractNum w:abstractNumId="3">
    <w:nsid w:val="5A405BA6"/>
    <w:multiLevelType w:val="singleLevel"/>
    <w:tmpl w:val="5A405BA6"/>
    <w:lvl w:ilvl="0" w:tentative="0">
      <w:start w:val="1"/>
      <w:numFmt w:val="decimal"/>
      <w:suff w:val="nothing"/>
      <w:lvlText w:val="%1、"/>
      <w:lvlJc w:val="left"/>
    </w:lvl>
  </w:abstractNum>
  <w:abstractNum w:abstractNumId="4">
    <w:nsid w:val="76471468"/>
    <w:multiLevelType w:val="singleLevel"/>
    <w:tmpl w:val="76471468"/>
    <w:lvl w:ilvl="0" w:tentative="0">
      <w:start w:val="1"/>
      <w:numFmt w:val="decimal"/>
      <w:suff w:val="space"/>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C53F7"/>
    <w:rsid w:val="00091D1D"/>
    <w:rsid w:val="00535E82"/>
    <w:rsid w:val="009D2041"/>
    <w:rsid w:val="01C07C4F"/>
    <w:rsid w:val="049F4303"/>
    <w:rsid w:val="04D367D0"/>
    <w:rsid w:val="04DE4B9D"/>
    <w:rsid w:val="05536128"/>
    <w:rsid w:val="06A22CC5"/>
    <w:rsid w:val="073204E6"/>
    <w:rsid w:val="07355F46"/>
    <w:rsid w:val="07E84E18"/>
    <w:rsid w:val="08B0609C"/>
    <w:rsid w:val="08F11EDD"/>
    <w:rsid w:val="09C07160"/>
    <w:rsid w:val="0A8F0D78"/>
    <w:rsid w:val="0AAB3905"/>
    <w:rsid w:val="0AF0377E"/>
    <w:rsid w:val="0D0E3BD7"/>
    <w:rsid w:val="0E9C7066"/>
    <w:rsid w:val="0EC000CD"/>
    <w:rsid w:val="0EFC2EB6"/>
    <w:rsid w:val="0F0E722C"/>
    <w:rsid w:val="0F420534"/>
    <w:rsid w:val="0FC61F3B"/>
    <w:rsid w:val="105F1A5A"/>
    <w:rsid w:val="106D2795"/>
    <w:rsid w:val="10B4330D"/>
    <w:rsid w:val="12637A14"/>
    <w:rsid w:val="12C06EE7"/>
    <w:rsid w:val="130E4364"/>
    <w:rsid w:val="133E581F"/>
    <w:rsid w:val="13572A3D"/>
    <w:rsid w:val="138657FA"/>
    <w:rsid w:val="138D079C"/>
    <w:rsid w:val="14194CEF"/>
    <w:rsid w:val="14A41D8B"/>
    <w:rsid w:val="15474357"/>
    <w:rsid w:val="15AE65F9"/>
    <w:rsid w:val="1652230F"/>
    <w:rsid w:val="16C448F7"/>
    <w:rsid w:val="179D040C"/>
    <w:rsid w:val="18A163C0"/>
    <w:rsid w:val="19612E3E"/>
    <w:rsid w:val="196F52C2"/>
    <w:rsid w:val="1971676D"/>
    <w:rsid w:val="19FF702E"/>
    <w:rsid w:val="1A3C133D"/>
    <w:rsid w:val="1A91723A"/>
    <w:rsid w:val="1AFD4E9B"/>
    <w:rsid w:val="1B05264A"/>
    <w:rsid w:val="1C7D21B2"/>
    <w:rsid w:val="1CAF05A6"/>
    <w:rsid w:val="1CFB3890"/>
    <w:rsid w:val="1DA5534A"/>
    <w:rsid w:val="1E5D48CE"/>
    <w:rsid w:val="1E7D6CDA"/>
    <w:rsid w:val="1EC20FB6"/>
    <w:rsid w:val="1F0C0276"/>
    <w:rsid w:val="1F4E13C3"/>
    <w:rsid w:val="1F8867A3"/>
    <w:rsid w:val="203E5F9E"/>
    <w:rsid w:val="20FF2F98"/>
    <w:rsid w:val="215173C7"/>
    <w:rsid w:val="22867B3B"/>
    <w:rsid w:val="233231BC"/>
    <w:rsid w:val="23937F2D"/>
    <w:rsid w:val="24554AED"/>
    <w:rsid w:val="24DD3228"/>
    <w:rsid w:val="24DF41AA"/>
    <w:rsid w:val="25312F41"/>
    <w:rsid w:val="25861705"/>
    <w:rsid w:val="269A4633"/>
    <w:rsid w:val="27407EF6"/>
    <w:rsid w:val="294C7BFE"/>
    <w:rsid w:val="2A990D11"/>
    <w:rsid w:val="2B241C87"/>
    <w:rsid w:val="2B6674FE"/>
    <w:rsid w:val="2BA62830"/>
    <w:rsid w:val="2BC73FB7"/>
    <w:rsid w:val="2D0E2FE9"/>
    <w:rsid w:val="2D0E308B"/>
    <w:rsid w:val="2D5D450A"/>
    <w:rsid w:val="2D686C23"/>
    <w:rsid w:val="2E4C732A"/>
    <w:rsid w:val="2E621BBA"/>
    <w:rsid w:val="2F693F3D"/>
    <w:rsid w:val="30500471"/>
    <w:rsid w:val="309F187F"/>
    <w:rsid w:val="336E3693"/>
    <w:rsid w:val="33D732CF"/>
    <w:rsid w:val="34326B7D"/>
    <w:rsid w:val="3505700E"/>
    <w:rsid w:val="35257DBE"/>
    <w:rsid w:val="35796A22"/>
    <w:rsid w:val="35E91EB6"/>
    <w:rsid w:val="36213DAE"/>
    <w:rsid w:val="36357C1B"/>
    <w:rsid w:val="37100562"/>
    <w:rsid w:val="372D6A12"/>
    <w:rsid w:val="3828503D"/>
    <w:rsid w:val="385A1CD5"/>
    <w:rsid w:val="38CC2623"/>
    <w:rsid w:val="392B45FC"/>
    <w:rsid w:val="3A182DE5"/>
    <w:rsid w:val="3D514E94"/>
    <w:rsid w:val="3E1D5959"/>
    <w:rsid w:val="3F680B88"/>
    <w:rsid w:val="40944E9A"/>
    <w:rsid w:val="41F1167C"/>
    <w:rsid w:val="41F7060C"/>
    <w:rsid w:val="42752BEA"/>
    <w:rsid w:val="43091C9D"/>
    <w:rsid w:val="431212D9"/>
    <w:rsid w:val="45510FCD"/>
    <w:rsid w:val="46766875"/>
    <w:rsid w:val="46CE7337"/>
    <w:rsid w:val="47203EC0"/>
    <w:rsid w:val="477B0E34"/>
    <w:rsid w:val="482C53F7"/>
    <w:rsid w:val="483118D2"/>
    <w:rsid w:val="49645A03"/>
    <w:rsid w:val="49843D63"/>
    <w:rsid w:val="49CB3B54"/>
    <w:rsid w:val="4A3760BB"/>
    <w:rsid w:val="4A74282B"/>
    <w:rsid w:val="4A9A09A3"/>
    <w:rsid w:val="4B4873A7"/>
    <w:rsid w:val="4B504C74"/>
    <w:rsid w:val="4B5C429A"/>
    <w:rsid w:val="4B715FA4"/>
    <w:rsid w:val="4BB845F9"/>
    <w:rsid w:val="4BEF2C0A"/>
    <w:rsid w:val="4D866344"/>
    <w:rsid w:val="4E0303C2"/>
    <w:rsid w:val="4E277686"/>
    <w:rsid w:val="4E870AA8"/>
    <w:rsid w:val="4FCE0F4C"/>
    <w:rsid w:val="509A5FF6"/>
    <w:rsid w:val="512E1E06"/>
    <w:rsid w:val="52E66023"/>
    <w:rsid w:val="55016734"/>
    <w:rsid w:val="55183BF5"/>
    <w:rsid w:val="55832DA7"/>
    <w:rsid w:val="569B4395"/>
    <w:rsid w:val="56A55882"/>
    <w:rsid w:val="56B72F41"/>
    <w:rsid w:val="56CB2A33"/>
    <w:rsid w:val="56FB7BA5"/>
    <w:rsid w:val="591369BB"/>
    <w:rsid w:val="592E66BD"/>
    <w:rsid w:val="59EF10CF"/>
    <w:rsid w:val="5A4016BD"/>
    <w:rsid w:val="5A481BE4"/>
    <w:rsid w:val="5AF242EB"/>
    <w:rsid w:val="5AFE5232"/>
    <w:rsid w:val="5B97192F"/>
    <w:rsid w:val="5C626189"/>
    <w:rsid w:val="5CA9603B"/>
    <w:rsid w:val="5D046B2B"/>
    <w:rsid w:val="5D1150D2"/>
    <w:rsid w:val="5D786BED"/>
    <w:rsid w:val="5E3A4510"/>
    <w:rsid w:val="5E7A0D9B"/>
    <w:rsid w:val="60892515"/>
    <w:rsid w:val="612C762D"/>
    <w:rsid w:val="62332584"/>
    <w:rsid w:val="62373A58"/>
    <w:rsid w:val="635C2EAE"/>
    <w:rsid w:val="635D4A10"/>
    <w:rsid w:val="63D570A9"/>
    <w:rsid w:val="652370D3"/>
    <w:rsid w:val="655E6A0A"/>
    <w:rsid w:val="65F05110"/>
    <w:rsid w:val="66603ABA"/>
    <w:rsid w:val="66611978"/>
    <w:rsid w:val="66E221B9"/>
    <w:rsid w:val="693E0B49"/>
    <w:rsid w:val="696F32D8"/>
    <w:rsid w:val="69BF53CE"/>
    <w:rsid w:val="69CC0724"/>
    <w:rsid w:val="69EF0029"/>
    <w:rsid w:val="69FB4CFD"/>
    <w:rsid w:val="6A344EDF"/>
    <w:rsid w:val="6AB63EC2"/>
    <w:rsid w:val="6B4701AB"/>
    <w:rsid w:val="6B5D0890"/>
    <w:rsid w:val="6BFE750B"/>
    <w:rsid w:val="6C7974CF"/>
    <w:rsid w:val="6CC52B33"/>
    <w:rsid w:val="6D535020"/>
    <w:rsid w:val="6E293E21"/>
    <w:rsid w:val="6E7810C1"/>
    <w:rsid w:val="6E8A67ED"/>
    <w:rsid w:val="6F063E1D"/>
    <w:rsid w:val="6FD92C72"/>
    <w:rsid w:val="6FDE6B42"/>
    <w:rsid w:val="705C063C"/>
    <w:rsid w:val="71215DB0"/>
    <w:rsid w:val="72A73384"/>
    <w:rsid w:val="731D4C86"/>
    <w:rsid w:val="73F60EBB"/>
    <w:rsid w:val="75346C3F"/>
    <w:rsid w:val="753A5422"/>
    <w:rsid w:val="75E967BA"/>
    <w:rsid w:val="76A74924"/>
    <w:rsid w:val="76F37FC2"/>
    <w:rsid w:val="77AF0EA6"/>
    <w:rsid w:val="78C52437"/>
    <w:rsid w:val="78C923E2"/>
    <w:rsid w:val="7907438B"/>
    <w:rsid w:val="7ABA007C"/>
    <w:rsid w:val="7BCF617A"/>
    <w:rsid w:val="7C5964BC"/>
    <w:rsid w:val="7C6F2714"/>
    <w:rsid w:val="7C915B90"/>
    <w:rsid w:val="7CCF2E16"/>
    <w:rsid w:val="7CF43F94"/>
    <w:rsid w:val="7E036477"/>
    <w:rsid w:val="7EC500A3"/>
    <w:rsid w:val="7EC54193"/>
    <w:rsid w:val="7EC94BA4"/>
    <w:rsid w:val="7EE01B8D"/>
    <w:rsid w:val="7F2E3098"/>
    <w:rsid w:val="7F7A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pPr>
      <w:adjustRightInd w:val="0"/>
      <w:snapToGrid w:val="0"/>
      <w:spacing w:line="360" w:lineRule="auto"/>
      <w:ind w:firstLine="454"/>
    </w:pPr>
    <w:rPr>
      <w:rFonts w:cs="Times New Roman"/>
      <w:color w:val="000000"/>
    </w:rPr>
  </w:style>
  <w:style w:type="paragraph" w:styleId="6">
    <w:name w:val="Body Text"/>
    <w:basedOn w:val="1"/>
    <w:qFormat/>
    <w:uiPriority w:val="0"/>
    <w:pPr>
      <w:widowControl w:val="0"/>
      <w:jc w:val="center"/>
    </w:pPr>
    <w:rPr>
      <w:kern w:val="2"/>
      <w:sz w:val="21"/>
      <w:szCs w:val="24"/>
    </w:rPr>
  </w:style>
  <w:style w:type="paragraph" w:styleId="7">
    <w:name w:val="toc 3"/>
    <w:basedOn w:val="1"/>
    <w:next w:val="1"/>
    <w:qFormat/>
    <w:uiPriority w:val="0"/>
    <w:pPr>
      <w:ind w:left="840" w:leftChars="400"/>
    </w:pPr>
  </w:style>
  <w:style w:type="paragraph" w:styleId="8">
    <w:name w:val="Plain Text"/>
    <w:basedOn w:val="1"/>
    <w:qFormat/>
    <w:uiPriority w:val="99"/>
    <w:rPr>
      <w:rFonts w:ascii="宋体" w:hAnsi="Courier New" w:cs="宋体"/>
      <w:sz w:val="28"/>
      <w:szCs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24"/>
      <w:szCs w:val="24"/>
    </w:rPr>
  </w:style>
  <w:style w:type="paragraph" w:styleId="11">
    <w:name w:val="toc 1"/>
    <w:basedOn w:val="1"/>
    <w:next w:val="1"/>
    <w:qFormat/>
    <w:uiPriority w:val="0"/>
  </w:style>
  <w:style w:type="paragraph" w:styleId="12">
    <w:name w:val="Body Text Indent 3"/>
    <w:basedOn w:val="1"/>
    <w:qFormat/>
    <w:uiPriority w:val="99"/>
    <w:pPr>
      <w:ind w:firstLine="585"/>
    </w:pPr>
    <w:rPr>
      <w:rFonts w:ascii="宋体" w:cs="宋体"/>
      <w:sz w:val="28"/>
      <w:szCs w:val="2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6"/>
    <w:qFormat/>
    <w:uiPriority w:val="0"/>
    <w:pPr>
      <w:widowControl/>
      <w:spacing w:after="120" w:afterLines="0"/>
      <w:ind w:firstLine="420" w:firstLineChars="100"/>
      <w:jc w:val="left"/>
    </w:pPr>
    <w:rPr>
      <w:kern w:val="0"/>
      <w:sz w:val="28"/>
      <w:szCs w:val="20"/>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800080"/>
      <w:u w:val="none"/>
    </w:rPr>
  </w:style>
  <w:style w:type="character" w:styleId="21">
    <w:name w:val="Emphasis"/>
    <w:basedOn w:val="18"/>
    <w:qFormat/>
    <w:uiPriority w:val="0"/>
    <w:rPr>
      <w:i/>
    </w:rPr>
  </w:style>
  <w:style w:type="character" w:styleId="22">
    <w:name w:val="Hyperlink"/>
    <w:basedOn w:val="18"/>
    <w:qFormat/>
    <w:uiPriority w:val="0"/>
    <w:rPr>
      <w:color w:val="0000FF"/>
      <w:u w:val="single"/>
    </w:rPr>
  </w:style>
  <w:style w:type="paragraph" w:customStyle="1" w:styleId="23">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24">
    <w:name w:val="五号表格"/>
    <w:basedOn w:val="1"/>
    <w:qFormat/>
    <w:uiPriority w:val="0"/>
    <w:pPr>
      <w:jc w:val="center"/>
    </w:pPr>
    <w:rPr>
      <w:rFonts w:ascii="Times New Roman" w:hAnsi="Times New Roman"/>
      <w:kern w:val="0"/>
      <w:szCs w:val="20"/>
    </w:rPr>
  </w:style>
  <w:style w:type="paragraph" w:customStyle="1" w:styleId="25">
    <w:name w:val="正文01"/>
    <w:basedOn w:val="1"/>
    <w:qFormat/>
    <w:uiPriority w:val="99"/>
    <w:pPr>
      <w:spacing w:before="60" w:line="460" w:lineRule="exact"/>
      <w:ind w:firstLine="200" w:firstLineChars="200"/>
    </w:pPr>
    <w:rPr>
      <w:rFonts w:cs="Times New Roman"/>
      <w:kern w:val="0"/>
      <w:sz w:val="24"/>
      <w:szCs w:val="24"/>
    </w:rPr>
  </w:style>
  <w:style w:type="character" w:customStyle="1" w:styleId="26">
    <w:name w:val="font21"/>
    <w:basedOn w:val="18"/>
    <w:qFormat/>
    <w:uiPriority w:val="0"/>
    <w:rPr>
      <w:rFonts w:hint="eastAsia" w:ascii="宋体" w:hAnsi="宋体" w:eastAsia="宋体" w:cs="宋体"/>
      <w:color w:val="000000"/>
      <w:sz w:val="24"/>
      <w:szCs w:val="24"/>
      <w:u w:val="none"/>
    </w:rPr>
  </w:style>
  <w:style w:type="paragraph" w:customStyle="1" w:styleId="27">
    <w:name w:val="图表标题"/>
    <w:basedOn w:val="1"/>
    <w:qFormat/>
    <w:uiPriority w:val="99"/>
    <w:pPr>
      <w:widowControl/>
      <w:tabs>
        <w:tab w:val="left" w:pos="1134"/>
      </w:tabs>
      <w:spacing w:beforeLines="50" w:afterLines="20"/>
      <w:jc w:val="center"/>
    </w:pPr>
    <w:rPr>
      <w:rFonts w:ascii="Arial" w:hAnsi="Arial" w:cs="Times New Roman"/>
      <w:sz w:val="32"/>
      <w:szCs w:val="32"/>
    </w:rPr>
  </w:style>
  <w:style w:type="paragraph" w:customStyle="1" w:styleId="28">
    <w:name w:val="p0"/>
    <w:basedOn w:val="1"/>
    <w:qFormat/>
    <w:uiPriority w:val="0"/>
    <w:pPr>
      <w:snapToGrid/>
      <w:spacing w:line="240" w:lineRule="auto"/>
      <w:ind w:firstLine="0" w:firstLineChars="0"/>
      <w:jc w:val="both"/>
    </w:pPr>
    <w:rPr>
      <w:sz w:val="28"/>
      <w:szCs w:val="28"/>
    </w:rPr>
  </w:style>
  <w:style w:type="paragraph" w:customStyle="1" w:styleId="29">
    <w:name w:val="表格"/>
    <w:basedOn w:val="1"/>
    <w:qFormat/>
    <w:uiPriority w:val="0"/>
    <w:pPr>
      <w:widowControl w:val="0"/>
      <w:snapToGrid w:val="0"/>
      <w:jc w:val="center"/>
    </w:pPr>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header" Target="head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32</Pages>
  <Words>13494</Words>
  <Characters>16927</Characters>
  <Lines>0</Lines>
  <Paragraphs>0</Paragraphs>
  <TotalTime>11</TotalTime>
  <ScaleCrop>false</ScaleCrop>
  <LinksUpToDate>false</LinksUpToDate>
  <CharactersWithSpaces>17657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2018-07-09T07:27:00Z</dcterms:created>
  <dc:creator>2017</dc:creator>
  <cp:lastModifiedBy>20190225</cp:lastModifiedBy>
  <cp:lastPrinted>2019-12-02T01:55:22Z</cp:lastPrinted>
  <dcterms:modified xsi:type="dcterms:W3CDTF">2019-12-02T04:38:33Z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